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utoSpaceDE w:val="0"/>
        <w:autoSpaceDN w:val="0"/>
        <w:spacing w:before="0" w:beforeAutospacing="0" w:after="0" w:afterAutospacing="0" w:line="600" w:lineRule="exact"/>
        <w:rPr>
          <w:rFonts w:ascii="黑体" w:eastAsia="黑体" w:cs="黑体"/>
          <w:color w:val="000000"/>
          <w:kern w:val="2"/>
          <w:sz w:val="32"/>
          <w:szCs w:val="32"/>
        </w:rPr>
      </w:pPr>
      <w:r>
        <w:rPr>
          <w:rFonts w:hint="eastAsia" w:ascii="黑体" w:eastAsia="黑体" w:cs="黑体"/>
          <w:color w:val="000000"/>
          <w:kern w:val="2"/>
          <w:sz w:val="32"/>
          <w:szCs w:val="32"/>
        </w:rPr>
        <w:t>附件2</w:t>
      </w:r>
    </w:p>
    <w:p>
      <w:pPr>
        <w:pStyle w:val="8"/>
        <w:widowControl w:val="0"/>
        <w:autoSpaceDE w:val="0"/>
        <w:autoSpaceDN w:val="0"/>
        <w:spacing w:before="0" w:beforeAutospacing="0" w:after="0" w:afterAutospacing="0" w:line="600" w:lineRule="exact"/>
        <w:rPr>
          <w:rFonts w:ascii="黑体" w:eastAsia="黑体" w:cs="黑体"/>
          <w:color w:val="000000"/>
          <w:kern w:val="2"/>
          <w:sz w:val="32"/>
          <w:szCs w:val="32"/>
        </w:rPr>
      </w:pPr>
    </w:p>
    <w:p>
      <w:pPr>
        <w:autoSpaceDE w:val="0"/>
        <w:autoSpaceDN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宁夏2022年职业卫生和放射卫生随机</w:t>
      </w:r>
    </w:p>
    <w:p>
      <w:pPr>
        <w:autoSpaceDE w:val="0"/>
        <w:autoSpaceDN w:val="0"/>
        <w:spacing w:line="60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监督抽查</w:t>
      </w:r>
      <w:r>
        <w:rPr>
          <w:rFonts w:hint="eastAsia" w:ascii="方正小标宋简体" w:hAnsi="方正小标宋简体" w:eastAsia="方正小标宋简体" w:cs="方正小标宋简体"/>
          <w:color w:val="000000"/>
          <w:sz w:val="44"/>
          <w:szCs w:val="44"/>
          <w:lang w:eastAsia="zh-CN"/>
        </w:rPr>
        <w:t>计划</w:t>
      </w:r>
    </w:p>
    <w:p>
      <w:pPr>
        <w:pStyle w:val="8"/>
        <w:widowControl w:val="0"/>
        <w:autoSpaceDE w:val="0"/>
        <w:autoSpaceDN w:val="0"/>
        <w:spacing w:before="0" w:beforeAutospacing="0" w:after="0" w:afterAutospacing="0" w:line="600" w:lineRule="exact"/>
        <w:jc w:val="both"/>
        <w:rPr>
          <w:rFonts w:ascii="方正黑体简体" w:hAnsi="方正黑体简体" w:eastAsia="方正黑体简体" w:cs="方正黑体简体"/>
          <w:color w:val="000000"/>
          <w:w w:val="105"/>
        </w:rPr>
      </w:pP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黑体" w:eastAsia="黑体" w:cs="Times New Roman"/>
          <w:color w:val="000000"/>
          <w:kern w:val="2"/>
          <w:sz w:val="32"/>
          <w:szCs w:val="32"/>
        </w:rPr>
      </w:pPr>
      <w:r>
        <w:rPr>
          <w:rFonts w:hint="eastAsia" w:ascii="黑体" w:eastAsia="黑体" w:cs="Times New Roman"/>
          <w:color w:val="000000"/>
          <w:kern w:val="2"/>
          <w:sz w:val="32"/>
          <w:szCs w:val="32"/>
        </w:rPr>
        <w:t>一、监督抽查对象和范围</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（一）用人单位。</w:t>
      </w:r>
      <w:r>
        <w:rPr>
          <w:rFonts w:hint="eastAsia" w:ascii="仿宋" w:hAnsi="仿宋" w:eastAsia="仿宋" w:cs="仿宋"/>
          <w:color w:val="000000"/>
          <w:kern w:val="2"/>
          <w:sz w:val="32"/>
          <w:szCs w:val="32"/>
        </w:rPr>
        <w:t>抽查50%辖区内用人单位（抽查底数依据</w:t>
      </w:r>
      <w:r>
        <w:rPr>
          <w:rFonts w:hint="eastAsia" w:ascii="仿宋" w:hAnsi="仿宋" w:eastAsia="仿宋" w:cs="Times New Roman"/>
          <w:color w:val="000000"/>
          <w:kern w:val="2"/>
          <w:sz w:val="32"/>
          <w:szCs w:val="32"/>
        </w:rPr>
        <w:t>2021年监督检查数据），建材和化工行业辖区内全覆盖。</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（二）职业卫生技术服务机构。</w:t>
      </w:r>
      <w:r>
        <w:rPr>
          <w:rFonts w:hint="eastAsia" w:ascii="仿宋" w:hAnsi="仿宋" w:eastAsia="仿宋" w:cs="Times New Roman"/>
          <w:color w:val="000000"/>
          <w:kern w:val="2"/>
          <w:sz w:val="32"/>
          <w:szCs w:val="32"/>
        </w:rPr>
        <w:t>辖区内全覆盖。</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（三）职业健康检查、职业病诊断机构及放射卫生技术服务机构。</w:t>
      </w:r>
      <w:r>
        <w:rPr>
          <w:rFonts w:hint="eastAsia" w:ascii="仿宋" w:hAnsi="仿宋" w:eastAsia="仿宋" w:cs="Times New Roman"/>
          <w:color w:val="000000"/>
          <w:kern w:val="2"/>
          <w:sz w:val="32"/>
          <w:szCs w:val="32"/>
        </w:rPr>
        <w:t>抽查15%辖区内职业健康检查机构，抽查10%职业病诊断机构，抽查50%放射卫生技术服务机构。</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（四）放射诊疗机构。</w:t>
      </w:r>
      <w:r>
        <w:rPr>
          <w:rFonts w:hint="eastAsia" w:ascii="仿宋" w:hAnsi="仿宋" w:eastAsia="仿宋" w:cs="Times New Roman"/>
          <w:color w:val="000000"/>
          <w:kern w:val="2"/>
          <w:sz w:val="32"/>
          <w:szCs w:val="32"/>
        </w:rPr>
        <w:t>抽查10%辖区内放射诊疗机构。</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黑体" w:eastAsia="黑体" w:cs="Times New Roman"/>
          <w:color w:val="000000"/>
          <w:kern w:val="2"/>
          <w:sz w:val="32"/>
          <w:szCs w:val="32"/>
        </w:rPr>
      </w:pPr>
      <w:r>
        <w:rPr>
          <w:rFonts w:hint="eastAsia" w:ascii="黑体" w:eastAsia="黑体" w:cs="Times New Roman"/>
          <w:color w:val="000000"/>
          <w:kern w:val="2"/>
          <w:sz w:val="32"/>
          <w:szCs w:val="32"/>
        </w:rPr>
        <w:t>二、监督检查内容</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（一）用人单位职业卫生国家随机监督抽查。</w:t>
      </w:r>
      <w:r>
        <w:rPr>
          <w:rFonts w:hint="eastAsia" w:ascii="仿宋" w:hAnsi="仿宋" w:eastAsia="仿宋" w:cs="Times New Roman"/>
          <w:color w:val="000000"/>
          <w:kern w:val="2"/>
          <w:sz w:val="32"/>
          <w:szCs w:val="32"/>
        </w:rPr>
        <w:t>包括建材、化工行业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w:t>
      </w:r>
      <w:r>
        <w:rPr>
          <w:rFonts w:hint="eastAsia" w:ascii="仿宋" w:hAnsi="仿宋" w:eastAsia="仿宋" w:cs="Times New Roman"/>
          <w:color w:val="000000"/>
          <w:kern w:val="2"/>
          <w:sz w:val="32"/>
          <w:szCs w:val="32"/>
          <w:lang w:val="en-US" w:eastAsia="zh-CN"/>
        </w:rPr>
        <w:t>`</w:t>
      </w:r>
      <w:r>
        <w:rPr>
          <w:rFonts w:hint="eastAsia" w:ascii="仿宋" w:hAnsi="仿宋" w:eastAsia="仿宋" w:cs="Times New Roman"/>
          <w:color w:val="000000"/>
          <w:kern w:val="2"/>
          <w:sz w:val="32"/>
          <w:szCs w:val="32"/>
        </w:rPr>
        <w:t>病病人、疑似职业病病人处置情况。</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（二）职业卫生技术服务机构国家随机监督抽查。</w:t>
      </w:r>
      <w:r>
        <w:rPr>
          <w:rFonts w:hint="eastAsia" w:ascii="仿宋" w:hAnsi="仿宋" w:eastAsia="仿宋" w:cs="Times New Roman"/>
          <w:color w:val="000000"/>
          <w:kern w:val="2"/>
          <w:sz w:val="32"/>
          <w:szCs w:val="32"/>
        </w:rPr>
        <w:t>主要检查职业卫生技术服务机构依照法律、法规和标准规范开展职业卫生技术服务活动情况,职业卫生专业技术人员管理情况。</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（三）职业健康检查、职业病诊断机构及放射卫生技术服务机构监督。</w:t>
      </w:r>
      <w:r>
        <w:rPr>
          <w:rFonts w:hint="eastAsia" w:ascii="仿宋" w:hAnsi="仿宋" w:eastAsia="仿宋" w:cs="Times New Roman"/>
          <w:color w:val="000000"/>
          <w:kern w:val="2"/>
          <w:sz w:val="32"/>
          <w:szCs w:val="32"/>
        </w:rPr>
        <w:t>职业病诊断机构、职业健康检查机构及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i w:val="0"/>
          <w:iCs w:val="0"/>
          <w:color w:val="000000"/>
          <w:kern w:val="2"/>
          <w:sz w:val="32"/>
          <w:szCs w:val="32"/>
        </w:rPr>
        <w:t>（四）放射诊疗机构监督。</w:t>
      </w:r>
      <w:r>
        <w:rPr>
          <w:rFonts w:hint="eastAsia" w:ascii="仿宋" w:hAnsi="仿宋" w:eastAsia="仿宋" w:cs="Times New Roman"/>
          <w:color w:val="000000"/>
          <w:kern w:val="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 学诊疗管理情况,放射性同位素管理情况;放射治疗管理情况等。</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仿宋" w:hAnsi="仿宋" w:eastAsia="仿宋" w:cs="仿宋"/>
          <w:color w:val="000000"/>
          <w:sz w:val="32"/>
          <w:szCs w:val="32"/>
        </w:rPr>
      </w:pPr>
      <w:r>
        <w:rPr>
          <w:rFonts w:hint="eastAsia" w:ascii="黑体" w:eastAsia="黑体" w:cs="Times New Roman"/>
          <w:color w:val="000000"/>
          <w:kern w:val="2"/>
          <w:sz w:val="32"/>
          <w:szCs w:val="32"/>
        </w:rPr>
        <w:t xml:space="preserve">三、实施步骤 </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（一）动员部署阶段（2022年6月）。</w:t>
      </w:r>
      <w:r>
        <w:rPr>
          <w:rFonts w:hint="eastAsia" w:ascii="仿宋" w:hAnsi="仿宋" w:eastAsia="仿宋" w:cs="Times New Roman"/>
          <w:color w:val="000000"/>
          <w:kern w:val="2"/>
          <w:sz w:val="32"/>
          <w:szCs w:val="32"/>
        </w:rPr>
        <w:t>各级卫生健康行政部门负责组织辖区监督机构开展国抽监督检查工作，掌握辖区用人单位、职业健康检查、职业病诊断、职业卫生技术服务机构和放射诊疗机构基本情况，结合工作实际，制定工作方案，启动抽查工作。</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（二）组织实施阶段（2022年7-9月）。</w:t>
      </w:r>
      <w:r>
        <w:rPr>
          <w:rFonts w:hint="eastAsia" w:ascii="仿宋" w:hAnsi="仿宋" w:eastAsia="仿宋" w:cs="Times New Roman"/>
          <w:color w:val="000000"/>
          <w:kern w:val="2"/>
          <w:sz w:val="32"/>
          <w:szCs w:val="32"/>
        </w:rPr>
        <w:t>各级卫生监督机构依照工作</w:t>
      </w:r>
      <w:r>
        <w:rPr>
          <w:rFonts w:hint="eastAsia" w:ascii="仿宋" w:hAnsi="仿宋" w:eastAsia="仿宋" w:cs="Times New Roman"/>
          <w:color w:val="000000"/>
          <w:kern w:val="2"/>
          <w:sz w:val="32"/>
          <w:szCs w:val="32"/>
          <w:lang w:eastAsia="zh-CN"/>
        </w:rPr>
        <w:t>计划</w:t>
      </w:r>
      <w:bookmarkStart w:id="0" w:name="_GoBack"/>
      <w:bookmarkEnd w:id="0"/>
      <w:r>
        <w:rPr>
          <w:rFonts w:hint="eastAsia" w:ascii="仿宋" w:hAnsi="仿宋" w:eastAsia="仿宋" w:cs="Times New Roman"/>
          <w:color w:val="000000"/>
          <w:kern w:val="2"/>
          <w:sz w:val="32"/>
          <w:szCs w:val="32"/>
        </w:rPr>
        <w:t>，全面组织开展抽检工作。自治区、市两级卫生健康行政部门将组织人员对各级卫生监督机构工作开展情况进行督查。</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9" w:firstLineChars="196"/>
        <w:jc w:val="both"/>
        <w:textAlignment w:val="auto"/>
        <w:rPr>
          <w:rFonts w:ascii="仿宋" w:hAnsi="仿宋" w:eastAsia="仿宋" w:cs="Times New Roman"/>
          <w:color w:val="000000"/>
          <w:kern w:val="2"/>
          <w:sz w:val="32"/>
          <w:szCs w:val="32"/>
        </w:rPr>
      </w:pPr>
      <w:r>
        <w:rPr>
          <w:rFonts w:hint="eastAsia" w:ascii="楷体" w:hAnsi="楷体" w:eastAsia="楷体" w:cs="楷体"/>
          <w:b/>
          <w:bCs/>
          <w:color w:val="000000"/>
          <w:kern w:val="2"/>
          <w:sz w:val="32"/>
          <w:szCs w:val="32"/>
        </w:rPr>
        <w:t>（三）总结上报阶段（2022年10月）。</w:t>
      </w:r>
      <w:r>
        <w:rPr>
          <w:rFonts w:hint="eastAsia" w:ascii="仿宋" w:hAnsi="仿宋" w:eastAsia="仿宋" w:cs="Times New Roman"/>
          <w:color w:val="000000"/>
          <w:kern w:val="2"/>
          <w:sz w:val="32"/>
          <w:szCs w:val="32"/>
        </w:rPr>
        <w:t>各级监督机构于2022年10月3</w:t>
      </w:r>
      <w:r>
        <w:rPr>
          <w:rFonts w:hint="eastAsia" w:ascii="仿宋" w:hAnsi="仿宋" w:eastAsia="仿宋" w:cs="Times New Roman"/>
          <w:color w:val="000000"/>
          <w:kern w:val="2"/>
          <w:sz w:val="32"/>
          <w:szCs w:val="32"/>
          <w:lang w:val="en-US" w:eastAsia="zh-CN"/>
        </w:rPr>
        <w:t>0</w:t>
      </w:r>
      <w:r>
        <w:rPr>
          <w:rFonts w:hint="eastAsia" w:ascii="仿宋" w:hAnsi="仿宋" w:eastAsia="仿宋" w:cs="Times New Roman"/>
          <w:color w:val="000000"/>
          <w:kern w:val="2"/>
          <w:sz w:val="32"/>
          <w:szCs w:val="32"/>
        </w:rPr>
        <w:t>日前完成全年工作情况报告。工作总结按照正文上报时间要求报送。</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黑体" w:eastAsia="黑体" w:cs="Times New Roman"/>
          <w:color w:val="000000"/>
          <w:kern w:val="2"/>
          <w:sz w:val="32"/>
          <w:szCs w:val="32"/>
        </w:rPr>
      </w:pPr>
      <w:r>
        <w:rPr>
          <w:rFonts w:hint="eastAsia" w:ascii="黑体" w:eastAsia="黑体" w:cs="Times New Roman"/>
          <w:color w:val="000000"/>
          <w:kern w:val="2"/>
          <w:sz w:val="32"/>
          <w:szCs w:val="32"/>
        </w:rPr>
        <w:t>四、工作要求</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（一）在对用人单位监督检查过程中，对有关职业卫生技术服务机构提供的职业卫生技术服务进行延伸检查。</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（二）各地要切实加强对上报数据信息的审核，按照抽查工作计划表及监督信息报告卡要求填报监督检查和案件查处数据信息，所有数据以信息报告系统填报数据为准，不需另外报送纸质报表。</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（三）各地于2022年10月3</w:t>
      </w:r>
      <w:r>
        <w:rPr>
          <w:rFonts w:hint="eastAsia" w:ascii="仿宋" w:hAnsi="仿宋" w:eastAsia="仿宋" w:cs="Times New Roman"/>
          <w:color w:val="000000"/>
          <w:kern w:val="2"/>
          <w:sz w:val="32"/>
          <w:szCs w:val="32"/>
          <w:lang w:val="en-US" w:eastAsia="zh-CN"/>
        </w:rPr>
        <w:t>0</w:t>
      </w:r>
      <w:r>
        <w:rPr>
          <w:rFonts w:hint="eastAsia" w:ascii="仿宋" w:hAnsi="仿宋" w:eastAsia="仿宋" w:cs="Times New Roman"/>
          <w:color w:val="000000"/>
          <w:kern w:val="2"/>
          <w:sz w:val="32"/>
          <w:szCs w:val="32"/>
        </w:rPr>
        <w:t>日前完成全部检查任务和数据填报工作，上半年已完成的用人单位日常监督检查信息可直接在双随机信息报告模块填报。</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联系人：自治区卫生健康综合服务中心</w:t>
      </w:r>
      <w:r>
        <w:rPr>
          <w:rFonts w:hint="eastAsia" w:ascii="仿宋" w:hAnsi="仿宋" w:eastAsia="仿宋" w:cs="Times New Roman"/>
          <w:color w:val="000000"/>
          <w:kern w:val="2"/>
          <w:sz w:val="32"/>
          <w:szCs w:val="32"/>
        </w:rPr>
        <w:tab/>
      </w:r>
      <w:r>
        <w:rPr>
          <w:rFonts w:hint="eastAsia" w:ascii="仿宋" w:hAnsi="仿宋" w:eastAsia="仿宋" w:cs="Times New Roman"/>
          <w:color w:val="000000"/>
          <w:kern w:val="2"/>
          <w:sz w:val="32"/>
          <w:szCs w:val="32"/>
        </w:rPr>
        <w:t>王永东</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hint="eastAsia" w:ascii="仿宋" w:hAnsi="仿宋" w:eastAsia="仿宋"/>
          <w:color w:val="auto"/>
          <w:sz w:val="32"/>
          <w:szCs w:val="32"/>
          <w:u w:val="none"/>
        </w:rPr>
      </w:pPr>
      <w:r>
        <w:rPr>
          <w:rFonts w:hint="eastAsia" w:ascii="仿宋" w:hAnsi="仿宋" w:eastAsia="仿宋" w:cs="Times New Roman"/>
          <w:color w:val="000000"/>
          <w:kern w:val="2"/>
          <w:sz w:val="32"/>
          <w:szCs w:val="32"/>
        </w:rPr>
        <w:t>电</w:t>
      </w:r>
      <w:r>
        <w:rPr>
          <w:rFonts w:hint="eastAsia" w:ascii="仿宋" w:hAnsi="仿宋" w:eastAsia="仿宋" w:cs="Times New Roman"/>
          <w:color w:val="000000"/>
          <w:kern w:val="2"/>
          <w:sz w:val="32"/>
          <w:szCs w:val="32"/>
        </w:rPr>
        <w:tab/>
      </w:r>
      <w:r>
        <w:rPr>
          <w:rFonts w:hint="eastAsia" w:ascii="仿宋" w:hAnsi="仿宋" w:eastAsia="仿宋" w:cs="Times New Roman"/>
          <w:color w:val="000000"/>
          <w:kern w:val="2"/>
          <w:sz w:val="32"/>
          <w:szCs w:val="32"/>
        </w:rPr>
        <w:t>话：0951-5092015</w:t>
      </w:r>
      <w:r>
        <w:rPr>
          <w:rFonts w:hint="eastAsia" w:ascii="仿宋" w:hAnsi="仿宋" w:eastAsia="仿宋" w:cs="Times New Roman"/>
          <w:color w:val="000000"/>
          <w:kern w:val="2"/>
          <w:sz w:val="32"/>
          <w:szCs w:val="32"/>
        </w:rPr>
        <w:tab/>
      </w:r>
      <w:r>
        <w:rPr>
          <w:rFonts w:hint="eastAsia" w:ascii="仿宋" w:hAnsi="仿宋" w:eastAsia="仿宋" w:cs="Times New Roman"/>
          <w:color w:val="auto"/>
          <w:kern w:val="2"/>
          <w:sz w:val="32"/>
          <w:szCs w:val="32"/>
          <w:lang w:eastAsia="zh-CN" w:bidi="ar-SA"/>
        </w:rPr>
        <w:t>邮箱：</w:t>
      </w:r>
      <w:r>
        <w:rPr>
          <w:rFonts w:hint="eastAsia" w:ascii="仿宋" w:hAnsi="仿宋" w:eastAsia="仿宋"/>
          <w:color w:val="auto"/>
          <w:sz w:val="32"/>
          <w:szCs w:val="32"/>
          <w:u w:val="none"/>
        </w:rPr>
        <w:t>nxwsjd_00</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@163.com</w:t>
      </w:r>
    </w:p>
    <w:p>
      <w:pPr>
        <w:pStyle w:val="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firstLine="627" w:firstLineChars="196"/>
        <w:jc w:val="both"/>
        <w:textAlignment w:val="auto"/>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传</w:t>
      </w:r>
      <w:r>
        <w:rPr>
          <w:rFonts w:hint="eastAsia" w:ascii="仿宋" w:hAnsi="仿宋" w:eastAsia="仿宋" w:cs="Times New Roman"/>
          <w:color w:val="000000"/>
          <w:kern w:val="2"/>
          <w:sz w:val="32"/>
          <w:szCs w:val="32"/>
        </w:rPr>
        <w:tab/>
      </w:r>
      <w:r>
        <w:rPr>
          <w:rFonts w:hint="eastAsia" w:ascii="仿宋" w:hAnsi="仿宋" w:eastAsia="仿宋" w:cs="Times New Roman"/>
          <w:color w:val="000000"/>
          <w:kern w:val="2"/>
          <w:sz w:val="32"/>
          <w:szCs w:val="32"/>
        </w:rPr>
        <w:t>真：0951-5092007</w:t>
      </w:r>
    </w:p>
    <w:p>
      <w:pPr>
        <w:pStyle w:val="8"/>
        <w:keepNext w:val="0"/>
        <w:keepLines w:val="0"/>
        <w:pageBreakBefore w:val="0"/>
        <w:widowControl w:val="0"/>
        <w:kinsoku/>
        <w:wordWrap/>
        <w:overflowPunct/>
        <w:topLinePunct w:val="0"/>
        <w:autoSpaceDE w:val="0"/>
        <w:autoSpaceDN w:val="0"/>
        <w:bidi w:val="0"/>
        <w:snapToGrid/>
        <w:spacing w:before="0" w:beforeAutospacing="0" w:after="0" w:afterAutospacing="0" w:line="560" w:lineRule="exact"/>
        <w:ind w:firstLine="607" w:firstLineChars="196"/>
        <w:jc w:val="both"/>
        <w:textAlignment w:val="auto"/>
        <w:rPr>
          <w:rFonts w:ascii="仿宋" w:hAnsi="仿宋" w:eastAsia="仿宋" w:cs="仿宋"/>
          <w:color w:val="000000"/>
          <w:spacing w:val="-5"/>
          <w:sz w:val="32"/>
          <w:szCs w:val="32"/>
        </w:rPr>
      </w:pPr>
    </w:p>
    <w:p>
      <w:pPr>
        <w:keepNext w:val="0"/>
        <w:keepLines w:val="0"/>
        <w:pageBreakBefore w:val="0"/>
        <w:widowControl/>
        <w:kinsoku/>
        <w:wordWrap/>
        <w:overflowPunct/>
        <w:topLinePunct w:val="0"/>
        <w:bidi w:val="0"/>
        <w:snapToGrid/>
        <w:spacing w:line="560" w:lineRule="exact"/>
        <w:ind w:firstLine="640" w:firstLineChars="200"/>
        <w:textAlignment w:val="auto"/>
        <w:outlineLvl w:val="0"/>
        <w:rPr>
          <w:rFonts w:ascii="仿宋" w:hAnsi="仿宋" w:eastAsia="仿宋" w:cs="仿宋"/>
          <w:color w:val="000000"/>
          <w:spacing w:val="-6"/>
          <w:szCs w:val="32"/>
          <w:lang w:val="zh-CN"/>
        </w:rPr>
      </w:pPr>
      <w:r>
        <w:rPr>
          <w:rFonts w:hint="eastAsia" w:ascii="仿宋" w:hAnsi="仿宋" w:eastAsia="仿宋" w:cs="仿宋"/>
          <w:color w:val="000000"/>
          <w:sz w:val="32"/>
          <w:szCs w:val="32"/>
          <w:lang w:val="zh-CN"/>
        </w:rPr>
        <w:t>附表：</w:t>
      </w:r>
      <w:r>
        <w:rPr>
          <w:rFonts w:hint="eastAsia" w:ascii="仿宋" w:hAnsi="仿宋" w:eastAsia="仿宋" w:cs="仿宋"/>
          <w:color w:val="000000"/>
          <w:sz w:val="32"/>
          <w:szCs w:val="32"/>
          <w:lang w:val="en-US" w:eastAsia="zh-CN"/>
        </w:rPr>
        <w:t>1.</w:t>
      </w:r>
      <w:r>
        <w:rPr>
          <w:rFonts w:hint="eastAsia" w:ascii="仿宋" w:hAnsi="仿宋" w:eastAsia="仿宋" w:cs="仿宋"/>
          <w:color w:val="000000"/>
          <w:spacing w:val="-6"/>
          <w:sz w:val="32"/>
          <w:szCs w:val="32"/>
          <w:lang w:val="zh-CN"/>
        </w:rPr>
        <w:t>202</w:t>
      </w:r>
      <w:r>
        <w:rPr>
          <w:rFonts w:hint="eastAsia" w:ascii="仿宋" w:hAnsi="仿宋" w:eastAsia="仿宋" w:cs="仿宋"/>
          <w:color w:val="000000"/>
          <w:spacing w:val="-6"/>
          <w:sz w:val="32"/>
          <w:szCs w:val="32"/>
        </w:rPr>
        <w:t>2</w:t>
      </w:r>
      <w:r>
        <w:rPr>
          <w:rFonts w:hint="eastAsia" w:ascii="仿宋" w:hAnsi="仿宋" w:eastAsia="仿宋" w:cs="仿宋"/>
          <w:color w:val="000000"/>
          <w:spacing w:val="-6"/>
          <w:sz w:val="32"/>
          <w:szCs w:val="32"/>
          <w:lang w:val="zh-CN"/>
        </w:rPr>
        <w:t>年用人单位职业卫生国家随机监督抽查计划表</w:t>
      </w:r>
    </w:p>
    <w:p>
      <w:pPr>
        <w:keepNext w:val="0"/>
        <w:keepLines w:val="0"/>
        <w:pageBreakBefore w:val="0"/>
        <w:widowControl/>
        <w:kinsoku/>
        <w:wordWrap/>
        <w:overflowPunct/>
        <w:topLinePunct w:val="0"/>
        <w:bidi w:val="0"/>
        <w:snapToGrid/>
        <w:spacing w:line="560" w:lineRule="exact"/>
        <w:ind w:firstLine="1600" w:firstLineChars="500"/>
        <w:textAlignment w:val="auto"/>
        <w:outlineLvl w:val="0"/>
        <w:rPr>
          <w:rFonts w:ascii="仿宋" w:hAnsi="仿宋" w:eastAsia="仿宋" w:cs="仿宋"/>
          <w:color w:val="000000"/>
          <w:spacing w:val="-6"/>
          <w:szCs w:val="32"/>
          <w:lang w:val="zh-CN"/>
        </w:rPr>
      </w:pPr>
      <w:r>
        <w:rPr>
          <w:rFonts w:hint="eastAsia" w:ascii="仿宋" w:hAnsi="仿宋" w:eastAsia="仿宋" w:cs="仿宋"/>
          <w:color w:val="000000"/>
          <w:sz w:val="32"/>
          <w:szCs w:val="32"/>
          <w:lang w:val="zh-CN"/>
        </w:rPr>
        <w:t>2.</w:t>
      </w:r>
      <w:r>
        <w:rPr>
          <w:rFonts w:hint="eastAsia" w:ascii="仿宋" w:hAnsi="仿宋" w:eastAsia="仿宋" w:cs="仿宋"/>
          <w:color w:val="000000"/>
          <w:spacing w:val="-6"/>
          <w:sz w:val="32"/>
          <w:szCs w:val="32"/>
          <w:lang w:val="zh-CN"/>
        </w:rPr>
        <w:t>202</w:t>
      </w:r>
      <w:r>
        <w:rPr>
          <w:rFonts w:hint="eastAsia" w:ascii="仿宋" w:hAnsi="仿宋" w:eastAsia="仿宋" w:cs="仿宋"/>
          <w:color w:val="000000"/>
          <w:spacing w:val="-6"/>
          <w:sz w:val="32"/>
          <w:szCs w:val="32"/>
        </w:rPr>
        <w:t>2</w:t>
      </w:r>
      <w:r>
        <w:rPr>
          <w:rFonts w:hint="eastAsia" w:ascii="仿宋" w:hAnsi="仿宋" w:eastAsia="仿宋" w:cs="仿宋"/>
          <w:color w:val="000000"/>
          <w:spacing w:val="-6"/>
          <w:sz w:val="32"/>
          <w:szCs w:val="32"/>
          <w:lang w:val="zh-CN"/>
        </w:rPr>
        <w:t xml:space="preserve">年用人单位职业卫生国家随机监督抽查汇总表       </w:t>
      </w:r>
    </w:p>
    <w:p>
      <w:pPr>
        <w:keepNext w:val="0"/>
        <w:keepLines w:val="0"/>
        <w:pageBreakBefore w:val="0"/>
        <w:widowControl/>
        <w:kinsoku/>
        <w:wordWrap/>
        <w:overflowPunct/>
        <w:topLinePunct w:val="0"/>
        <w:bidi w:val="0"/>
        <w:snapToGrid/>
        <w:spacing w:line="560" w:lineRule="exact"/>
        <w:ind w:left="1916" w:leftChars="760" w:hanging="320" w:hangingChars="100"/>
        <w:textAlignment w:val="auto"/>
        <w:outlineLvl w:val="0"/>
        <w:rPr>
          <w:rFonts w:ascii="仿宋" w:hAnsi="仿宋" w:eastAsia="仿宋" w:cs="仿宋"/>
          <w:color w:val="000000"/>
          <w:szCs w:val="32"/>
          <w:lang w:val="zh-CN"/>
        </w:rPr>
      </w:pPr>
      <w:r>
        <w:rPr>
          <w:rFonts w:hint="eastAsia" w:ascii="仿宋" w:hAnsi="仿宋" w:eastAsia="仿宋" w:cs="仿宋"/>
          <w:color w:val="000000"/>
          <w:sz w:val="32"/>
          <w:szCs w:val="32"/>
          <w:lang w:val="zh-CN"/>
        </w:rPr>
        <w:t>3.202</w:t>
      </w: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年职业卫生技术服务机构国家随机监督抽查计划表</w:t>
      </w:r>
    </w:p>
    <w:p>
      <w:pPr>
        <w:keepNext w:val="0"/>
        <w:keepLines w:val="0"/>
        <w:pageBreakBefore w:val="0"/>
        <w:kinsoku/>
        <w:wordWrap/>
        <w:overflowPunct/>
        <w:topLinePunct w:val="0"/>
        <w:autoSpaceDE w:val="0"/>
        <w:autoSpaceDN w:val="0"/>
        <w:bidi w:val="0"/>
        <w:snapToGrid/>
        <w:spacing w:line="560" w:lineRule="exact"/>
        <w:ind w:left="1916" w:leftChars="760" w:hanging="320" w:hangingChars="100"/>
        <w:textAlignment w:val="auto"/>
        <w:rPr>
          <w:rFonts w:ascii="仿宋" w:hAnsi="仿宋" w:eastAsia="仿宋" w:cs="仿宋"/>
          <w:color w:val="000000"/>
          <w:szCs w:val="32"/>
          <w:lang w:val="zh-CN"/>
        </w:rPr>
      </w:pPr>
      <w:r>
        <w:rPr>
          <w:rFonts w:hint="eastAsia" w:ascii="仿宋" w:hAnsi="仿宋" w:eastAsia="仿宋" w:cs="仿宋"/>
          <w:color w:val="000000"/>
          <w:sz w:val="32"/>
          <w:szCs w:val="32"/>
          <w:lang w:val="zh-CN"/>
        </w:rPr>
        <w:t>4.202</w:t>
      </w: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年职业卫生技术服务机构国家随机监督抽查汇总表</w:t>
      </w:r>
    </w:p>
    <w:p>
      <w:pPr>
        <w:keepNext w:val="0"/>
        <w:keepLines w:val="0"/>
        <w:pageBreakBefore w:val="0"/>
        <w:kinsoku/>
        <w:wordWrap/>
        <w:overflowPunct/>
        <w:topLinePunct w:val="0"/>
        <w:autoSpaceDE w:val="0"/>
        <w:autoSpaceDN w:val="0"/>
        <w:bidi w:val="0"/>
        <w:snapToGrid/>
        <w:spacing w:line="560" w:lineRule="exact"/>
        <w:ind w:left="1916" w:leftChars="760" w:hanging="320" w:hangingChars="100"/>
        <w:textAlignment w:val="auto"/>
        <w:rPr>
          <w:rFonts w:ascii="仿宋" w:hAnsi="仿宋" w:eastAsia="仿宋" w:cs="仿宋"/>
          <w:color w:val="000000"/>
          <w:szCs w:val="32"/>
          <w:lang w:val="zh-CN"/>
        </w:rPr>
      </w:pPr>
      <w:r>
        <w:rPr>
          <w:rFonts w:hint="eastAsia" w:ascii="仿宋" w:hAnsi="仿宋" w:eastAsia="仿宋" w:cs="仿宋"/>
          <w:color w:val="000000"/>
          <w:sz w:val="32"/>
          <w:szCs w:val="32"/>
          <w:lang w:val="zh-CN"/>
        </w:rPr>
        <w:t>5.202</w:t>
      </w: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年放射诊疗、职业健康检查、职业病诊断机构</w:t>
      </w:r>
      <w:r>
        <w:rPr>
          <w:rFonts w:hint="eastAsia" w:ascii="仿宋" w:hAnsi="仿宋" w:eastAsia="仿宋" w:cs="仿宋"/>
          <w:color w:val="000000"/>
          <w:spacing w:val="-6"/>
          <w:sz w:val="32"/>
          <w:szCs w:val="32"/>
          <w:lang w:val="zh-CN"/>
        </w:rPr>
        <w:t>及放射卫生技术服务机构国家监督抽查工作计划表</w:t>
      </w:r>
    </w:p>
    <w:p>
      <w:pPr>
        <w:keepNext w:val="0"/>
        <w:keepLines w:val="0"/>
        <w:pageBreakBefore w:val="0"/>
        <w:widowControl/>
        <w:kinsoku/>
        <w:wordWrap/>
        <w:overflowPunct/>
        <w:topLinePunct w:val="0"/>
        <w:bidi w:val="0"/>
        <w:snapToGrid/>
        <w:spacing w:line="560" w:lineRule="exact"/>
        <w:ind w:firstLine="1600" w:firstLineChars="500"/>
        <w:textAlignment w:val="auto"/>
        <w:outlineLvl w:val="0"/>
        <w:rPr>
          <w:rFonts w:ascii="仿宋" w:hAnsi="仿宋" w:eastAsia="仿宋" w:cs="仿宋"/>
          <w:color w:val="000000"/>
          <w:szCs w:val="32"/>
          <w:lang w:val="zh-CN"/>
        </w:rPr>
      </w:pPr>
      <w:r>
        <w:rPr>
          <w:rFonts w:hint="eastAsia" w:ascii="仿宋" w:hAnsi="仿宋" w:eastAsia="仿宋" w:cs="仿宋"/>
          <w:color w:val="000000"/>
          <w:sz w:val="32"/>
          <w:szCs w:val="32"/>
          <w:lang w:val="zh-CN"/>
        </w:rPr>
        <w:t>6.202</w:t>
      </w: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年放射诊疗机构国家监督抽查汇总表</w:t>
      </w:r>
    </w:p>
    <w:p>
      <w:pPr>
        <w:keepNext w:val="0"/>
        <w:keepLines w:val="0"/>
        <w:pageBreakBefore w:val="0"/>
        <w:widowControl/>
        <w:kinsoku/>
        <w:wordWrap/>
        <w:overflowPunct/>
        <w:topLinePunct w:val="0"/>
        <w:bidi w:val="0"/>
        <w:snapToGrid/>
        <w:spacing w:line="560" w:lineRule="exact"/>
        <w:ind w:left="1916" w:leftChars="760" w:hanging="320" w:hangingChars="100"/>
        <w:textAlignment w:val="auto"/>
        <w:outlineLvl w:val="0"/>
        <w:rPr>
          <w:rFonts w:ascii="仿宋" w:hAnsi="仿宋" w:eastAsia="仿宋" w:cs="仿宋"/>
          <w:color w:val="000000"/>
          <w:szCs w:val="32"/>
          <w:lang w:val="zh-CN"/>
        </w:rPr>
      </w:pPr>
      <w:r>
        <w:rPr>
          <w:rFonts w:hint="eastAsia" w:ascii="仿宋" w:hAnsi="仿宋" w:eastAsia="仿宋" w:cs="仿宋"/>
          <w:color w:val="000000"/>
          <w:sz w:val="32"/>
          <w:szCs w:val="32"/>
          <w:lang w:val="zh-CN"/>
        </w:rPr>
        <w:t>7.202</w:t>
      </w: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年职业健康检查机构、职业病诊断机构及放射卫生技术服务机构国家监督抽查汇总表</w:t>
      </w:r>
    </w:p>
    <w:p>
      <w:pPr>
        <w:keepNext w:val="0"/>
        <w:keepLines w:val="0"/>
        <w:pageBreakBefore w:val="0"/>
        <w:kinsoku/>
        <w:wordWrap/>
        <w:overflowPunct/>
        <w:topLinePunct w:val="0"/>
        <w:bidi w:val="0"/>
        <w:snapToGrid/>
        <w:spacing w:line="560" w:lineRule="exact"/>
        <w:textAlignment w:val="auto"/>
        <w:rPr>
          <w:rFonts w:ascii="Times New Roman" w:hAnsi="Times New Roman" w:eastAsia="仿宋_GB2312" w:cs="Times New Roman"/>
          <w:color w:val="000000"/>
          <w:sz w:val="32"/>
          <w:szCs w:val="24"/>
        </w:rPr>
        <w:sectPr>
          <w:headerReference r:id="rId3" w:type="default"/>
          <w:footerReference r:id="rId4" w:type="default"/>
          <w:pgSz w:w="11905" w:h="16838"/>
          <w:pgMar w:top="2098" w:right="1474" w:bottom="1984" w:left="1588" w:header="850" w:footer="1417" w:gutter="0"/>
          <w:pgNumType w:fmt="numberInDash"/>
          <w:cols w:space="0" w:num="1"/>
          <w:rtlGutter w:val="0"/>
          <w:docGrid w:linePitch="439" w:charSpace="0"/>
        </w:sect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宋体" w:eastAsia="黑体" w:cs="黑体"/>
          <w:color w:val="000000"/>
        </w:rPr>
      </w:pPr>
      <w:r>
        <w:rPr>
          <w:rFonts w:hint="eastAsia" w:ascii="黑体" w:hAnsi="宋体" w:eastAsia="黑体" w:cs="黑体"/>
          <w:color w:val="000000"/>
          <w:sz w:val="32"/>
          <w:szCs w:val="24"/>
        </w:rPr>
        <w:t>附表1</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2022年用人单位职业卫生国家随机监督抽查计划表</w:t>
      </w:r>
    </w:p>
    <w:tbl>
      <w:tblPr>
        <w:tblStyle w:val="9"/>
        <w:tblW w:w="14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2"/>
        <w:gridCol w:w="1513"/>
        <w:gridCol w:w="2473"/>
        <w:gridCol w:w="8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blHeader/>
          <w:jc w:val="center"/>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仿宋" w:hAnsi="仿宋" w:eastAsia="仿宋" w:cs="仿宋"/>
                <w:b/>
                <w:bCs w:val="0"/>
                <w:color w:val="000000"/>
                <w:sz w:val="24"/>
                <w:szCs w:val="24"/>
              </w:rPr>
            </w:pPr>
            <w:r>
              <w:rPr>
                <w:rFonts w:hint="eastAsia" w:ascii="仿宋" w:hAnsi="仿宋" w:eastAsia="仿宋" w:cs="仿宋"/>
                <w:b/>
                <w:bCs w:val="0"/>
                <w:color w:val="000000"/>
                <w:sz w:val="24"/>
                <w:szCs w:val="24"/>
              </w:rPr>
              <w:t>监督检查对象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6660"/>
              </w:tabs>
              <w:kinsoku/>
              <w:wordWrap/>
              <w:overflowPunct/>
              <w:topLinePunct w:val="0"/>
              <w:autoSpaceDE/>
              <w:autoSpaceDN/>
              <w:bidi w:val="0"/>
              <w:adjustRightInd/>
              <w:snapToGrid/>
              <w:spacing w:line="0" w:lineRule="atLeast"/>
              <w:jc w:val="center"/>
              <w:textAlignment w:val="auto"/>
              <w:outlineLvl w:val="9"/>
              <w:rPr>
                <w:rFonts w:ascii="仿宋" w:hAnsi="仿宋" w:eastAsia="仿宋" w:cs="仿宋"/>
                <w:b/>
                <w:bCs w:val="0"/>
                <w:color w:val="000000"/>
                <w:sz w:val="24"/>
                <w:szCs w:val="24"/>
              </w:rPr>
            </w:pPr>
            <w:r>
              <w:rPr>
                <w:rFonts w:hint="eastAsia" w:ascii="仿宋" w:hAnsi="仿宋" w:eastAsia="仿宋" w:cs="仿宋"/>
                <w:b/>
                <w:bCs w:val="0"/>
                <w:color w:val="000000"/>
                <w:sz w:val="24"/>
                <w:szCs w:val="24"/>
              </w:rPr>
              <w:t>抽查任务</w:t>
            </w:r>
          </w:p>
        </w:tc>
        <w:tc>
          <w:tcPr>
            <w:tcW w:w="10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6660"/>
              </w:tabs>
              <w:kinsoku/>
              <w:wordWrap/>
              <w:overflowPunct/>
              <w:topLinePunct w:val="0"/>
              <w:autoSpaceDE/>
              <w:autoSpaceDN/>
              <w:bidi w:val="0"/>
              <w:adjustRightInd/>
              <w:snapToGrid/>
              <w:spacing w:line="0" w:lineRule="atLeast"/>
              <w:jc w:val="center"/>
              <w:textAlignment w:val="auto"/>
              <w:outlineLvl w:val="9"/>
              <w:rPr>
                <w:rFonts w:ascii="仿宋" w:hAnsi="仿宋" w:eastAsia="仿宋" w:cs="仿宋"/>
                <w:b/>
                <w:bCs w:val="0"/>
                <w:color w:val="000000"/>
                <w:sz w:val="24"/>
                <w:szCs w:val="24"/>
              </w:rPr>
            </w:pPr>
            <w:r>
              <w:rPr>
                <w:rFonts w:hint="eastAsia" w:ascii="仿宋" w:hAnsi="仿宋" w:eastAsia="仿宋" w:cs="仿宋"/>
                <w:b/>
                <w:bCs w:val="0"/>
                <w:color w:val="000000"/>
                <w:sz w:val="24"/>
                <w:szCs w:val="24"/>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blHeader/>
          <w:jc w:val="center"/>
        </w:trPr>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6660"/>
              </w:tabs>
              <w:kinsoku/>
              <w:wordWrap/>
              <w:overflowPunct/>
              <w:topLinePunct w:val="0"/>
              <w:autoSpaceDE/>
              <w:autoSpaceDN/>
              <w:bidi w:val="0"/>
              <w:adjustRightInd/>
              <w:snapToGrid/>
              <w:spacing w:line="0" w:lineRule="atLeast"/>
              <w:jc w:val="center"/>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用人单位</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bCs/>
                <w:color w:val="000000"/>
                <w:sz w:val="24"/>
                <w:szCs w:val="24"/>
              </w:rPr>
              <w:t>抽查用人单位数量不低于2021年监督检查数量。抽查50%，其中，建材和化工全覆盖</w:t>
            </w:r>
            <w:r>
              <w:rPr>
                <w:rFonts w:hint="eastAsia" w:ascii="仿宋" w:hAnsi="仿宋" w:eastAsia="仿宋" w:cs="仿宋"/>
                <w:bCs/>
                <w:color w:val="000000"/>
                <w:sz w:val="24"/>
                <w:szCs w:val="24"/>
                <w:lang w:eastAsia="zh-CN"/>
              </w:rPr>
              <w:t>。</w:t>
            </w:r>
          </w:p>
        </w:tc>
        <w:tc>
          <w:tcPr>
            <w:tcW w:w="24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1.职业病防治管理 组织和措施</w:t>
            </w:r>
          </w:p>
        </w:tc>
        <w:tc>
          <w:tcPr>
            <w:tcW w:w="84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1.是否按规定设置或者指定职业卫生管理机构或者组织,配备专职或者兼职的职业卫生管理人员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2.职业卫生培训</w:t>
            </w:r>
          </w:p>
        </w:tc>
        <w:tc>
          <w:tcPr>
            <w:tcW w:w="84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3.建设项目职业病 防护设施"三同时"</w:t>
            </w:r>
          </w:p>
        </w:tc>
        <w:tc>
          <w:tcPr>
            <w:tcW w:w="84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*4.职业病危害项 目申报</w:t>
            </w:r>
          </w:p>
        </w:tc>
        <w:tc>
          <w:tcPr>
            <w:tcW w:w="84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5.工作场所职业卫 生管理</w:t>
            </w:r>
          </w:p>
        </w:tc>
        <w:tc>
          <w:tcPr>
            <w:tcW w:w="84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1.是否按规定开展工作场所职业病危害因素监测、检测、评价,是否进行检测结果的报告和公布; 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6.职业病危害警示 和告知</w:t>
            </w:r>
          </w:p>
        </w:tc>
        <w:tc>
          <w:tcPr>
            <w:tcW w:w="84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7.劳动者职业健康 监护</w:t>
            </w:r>
          </w:p>
        </w:tc>
        <w:tc>
          <w:tcPr>
            <w:tcW w:w="84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blHeader/>
          <w:jc w:val="center"/>
        </w:trPr>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Calibri" w:hAnsi="Calibri" w:eastAsia="宋体" w:cs="Times New Roman"/>
              </w:rPr>
            </w:pPr>
          </w:p>
        </w:tc>
        <w:tc>
          <w:tcPr>
            <w:tcW w:w="24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8.职业病病人和疑  似以职业病病人处置</w:t>
            </w:r>
          </w:p>
        </w:tc>
        <w:tc>
          <w:tcPr>
            <w:tcW w:w="84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000000"/>
                <w:sz w:val="24"/>
                <w:szCs w:val="24"/>
              </w:rPr>
            </w:pPr>
            <w:r>
              <w:rPr>
                <w:rFonts w:hint="eastAsia" w:ascii="仿宋" w:hAnsi="仿宋" w:eastAsia="仿宋" w:cs="仿宋"/>
                <w:bCs/>
                <w:color w:val="000000"/>
                <w:sz w:val="24"/>
                <w:szCs w:val="24"/>
              </w:rPr>
              <w:t>1.是否按规定处置职业病人、疑似职业病人;                                          2.是否为劳动者进行职业病诊断提供健康损害与职业史、职业病危害接触关系等相关资料。</w:t>
            </w:r>
          </w:p>
        </w:tc>
      </w:tr>
    </w:tbl>
    <w:p>
      <w:pPr>
        <w:jc w:val="left"/>
        <w:rPr>
          <w:rFonts w:ascii="黑体" w:hAnsi="宋体" w:eastAsia="黑体" w:cs="黑体"/>
          <w:color w:val="000000"/>
        </w:rPr>
      </w:pPr>
      <w:r>
        <w:rPr>
          <w:rFonts w:hint="eastAsia" w:ascii="黑体" w:hAnsi="宋体" w:eastAsia="黑体" w:cs="黑体"/>
          <w:color w:val="000000"/>
          <w:spacing w:val="-8"/>
          <w:sz w:val="24"/>
          <w:szCs w:val="24"/>
        </w:rPr>
        <w:t>注:重点检查内容中"4.职业病危害项目申报"是必查项。</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宋体" w:eastAsia="黑体" w:cs="黑体"/>
          <w:color w:val="000000"/>
          <w:sz w:val="32"/>
          <w:szCs w:val="2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000000"/>
          <w:szCs w:val="24"/>
        </w:rPr>
      </w:pPr>
      <w:r>
        <w:rPr>
          <w:rFonts w:hint="eastAsia" w:ascii="黑体" w:hAnsi="宋体" w:eastAsia="黑体" w:cs="黑体"/>
          <w:color w:val="000000"/>
          <w:sz w:val="32"/>
          <w:szCs w:val="24"/>
        </w:rPr>
        <w:t>附表2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2022年用人单位职业卫生国家随机监督抽查汇总表</w:t>
      </w:r>
    </w:p>
    <w:tbl>
      <w:tblPr>
        <w:tblStyle w:val="9"/>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81"/>
        <w:gridCol w:w="468"/>
        <w:gridCol w:w="470"/>
        <w:gridCol w:w="674"/>
        <w:gridCol w:w="728"/>
        <w:gridCol w:w="728"/>
        <w:gridCol w:w="726"/>
        <w:gridCol w:w="727"/>
        <w:gridCol w:w="727"/>
        <w:gridCol w:w="731"/>
        <w:gridCol w:w="727"/>
        <w:gridCol w:w="891"/>
        <w:gridCol w:w="992"/>
        <w:gridCol w:w="1028"/>
        <w:gridCol w:w="521"/>
        <w:gridCol w:w="416"/>
        <w:gridCol w:w="625"/>
        <w:gridCol w:w="624"/>
        <w:gridCol w:w="623"/>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用人单位类别</w:t>
            </w:r>
          </w:p>
        </w:tc>
        <w:tc>
          <w:tcPr>
            <w:tcW w:w="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辖区单位数</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抽查单位数</w:t>
            </w:r>
          </w:p>
        </w:tc>
        <w:tc>
          <w:tcPr>
            <w:tcW w:w="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不合格单位数</w:t>
            </w:r>
          </w:p>
        </w:tc>
        <w:tc>
          <w:tcPr>
            <w:tcW w:w="867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不合格情况</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责令限期改正单位数</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行政处罚单位</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数</w:t>
            </w:r>
          </w:p>
        </w:tc>
        <w:tc>
          <w:tcPr>
            <w:tcW w:w="248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1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职业病防治管理组织和措施</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职业卫生培训</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建设项目“三同时”</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职业病危害项目申报</w:t>
            </w:r>
          </w:p>
        </w:tc>
        <w:tc>
          <w:tcPr>
            <w:tcW w:w="1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工作场所职业卫生管理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职业病危害警示和告知</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劳动者职业健康监护</w:t>
            </w:r>
          </w:p>
        </w:tc>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职业病病人和疑似职业病病人处置</w:t>
            </w:r>
          </w:p>
        </w:tc>
        <w:tc>
          <w:tcPr>
            <w:tcW w:w="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248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职业卫生管理机构或者组织不合格单位数</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职业卫生管理制度和操作规程不合格单位数</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职业卫生培训不合格单位数</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建设项目职业病防护设施“三同时”不合格单位数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工作场所职业病危害项目申报不合格单位数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工作场所职业病危害因素监测、检测、评价不合格单位数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职业病防护设施、应急救援设施、防护用品不合格单位数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职业病危害警示和告知不合格单位数</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劳动者职业健康监护、放射工作人员个人剂量监测不合格单位数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职业病病人、疑似职业病病人处置不合格单位数</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未为劳动者进行职业病诊断提供健康损害与职业史、职业病危害接触关系等相关资料单位数</w:t>
            </w:r>
          </w:p>
        </w:tc>
        <w:tc>
          <w:tcPr>
            <w:tcW w:w="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ascii="Calibri" w:hAnsi="Calibri" w:eastAsia="宋体" w:cs="Times New Roman"/>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警告单位数</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罚款（万元）</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责令停止作业单位数</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建材</w:t>
            </w:r>
          </w:p>
        </w:tc>
        <w:tc>
          <w:tcPr>
            <w:tcW w:w="38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8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化工</w:t>
            </w:r>
          </w:p>
        </w:tc>
        <w:tc>
          <w:tcPr>
            <w:tcW w:w="38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8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其他用人单位</w:t>
            </w:r>
          </w:p>
        </w:tc>
        <w:tc>
          <w:tcPr>
            <w:tcW w:w="38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8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r>
              <w:rPr>
                <w:rFonts w:hint="eastAsia" w:ascii="仿宋" w:hAnsi="仿宋" w:eastAsia="仿宋" w:cs="仿宋"/>
                <w:color w:val="000000"/>
                <w:kern w:val="0"/>
                <w:szCs w:val="21"/>
              </w:rPr>
              <w:t>合计</w:t>
            </w:r>
          </w:p>
        </w:tc>
        <w:tc>
          <w:tcPr>
            <w:tcW w:w="38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8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ascii="仿宋" w:hAnsi="仿宋" w:eastAsia="仿宋" w:cs="仿宋"/>
                <w:color w:val="000000"/>
                <w:kern w:val="0"/>
                <w:szCs w:val="21"/>
              </w:rPr>
            </w:pPr>
          </w:p>
        </w:tc>
      </w:tr>
    </w:tbl>
    <w:p>
      <w:pPr>
        <w:spacing w:beforeLines="50" w:afterLines="50"/>
        <w:outlineLvl w:val="1"/>
        <w:rPr>
          <w:rFonts w:ascii="宋体" w:hAnsi="宋体" w:eastAsia="宋体" w:cs="宋体"/>
          <w:bCs/>
          <w:color w:val="000000"/>
          <w:szCs w:val="21"/>
        </w:rPr>
      </w:pPr>
      <w:r>
        <w:rPr>
          <w:rFonts w:hint="eastAsia" w:ascii="仿宋" w:hAnsi="仿宋" w:eastAsia="仿宋" w:cs="仿宋"/>
          <w:bCs/>
          <w:color w:val="000000"/>
          <w:szCs w:val="21"/>
        </w:rPr>
        <w:t>填报单位：                             填报人：                     联系电话：</w:t>
      </w:r>
    </w:p>
    <w:p>
      <w:pPr>
        <w:jc w:val="left"/>
        <w:rPr>
          <w:rFonts w:ascii="宋体" w:hAnsi="宋体" w:eastAsia="宋体" w:cs="宋体"/>
          <w:b/>
          <w:color w:val="000000"/>
        </w:rPr>
      </w:pPr>
      <w:r>
        <w:rPr>
          <w:rFonts w:hint="eastAsia" w:ascii="黑体" w:hAnsi="宋体" w:eastAsia="黑体" w:cs="黑体"/>
          <w:color w:val="000000"/>
          <w:sz w:val="32"/>
          <w:szCs w:val="24"/>
        </w:rPr>
        <w:t>附表3</w:t>
      </w:r>
    </w:p>
    <w:p>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2022年职业卫生技术服务机构国家随机监督抽查计划表</w:t>
      </w:r>
    </w:p>
    <w:tbl>
      <w:tblPr>
        <w:tblStyle w:val="9"/>
        <w:tblW w:w="141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8"/>
        <w:gridCol w:w="1525"/>
        <w:gridCol w:w="1837"/>
        <w:gridCol w:w="8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blHeader/>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监督检查对象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抽查任务</w:t>
            </w:r>
          </w:p>
        </w:tc>
        <w:tc>
          <w:tcPr>
            <w:tcW w:w="10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blHeader/>
          <w:jc w:val="center"/>
        </w:trPr>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center"/>
              <w:rPr>
                <w:rFonts w:ascii="仿宋" w:hAnsi="仿宋" w:eastAsia="仿宋" w:cs="仿宋"/>
                <w:color w:val="000000"/>
                <w:sz w:val="22"/>
                <w:szCs w:val="24"/>
              </w:rPr>
            </w:pPr>
            <w:r>
              <w:rPr>
                <w:rFonts w:hint="eastAsia" w:ascii="仿宋" w:hAnsi="仿宋" w:eastAsia="仿宋" w:cs="仿宋"/>
                <w:color w:val="000000"/>
                <w:sz w:val="22"/>
                <w:szCs w:val="24"/>
              </w:rPr>
              <w:t>职业卫生技术</w:t>
            </w:r>
          </w:p>
          <w:p>
            <w:pPr>
              <w:tabs>
                <w:tab w:val="left" w:pos="6660"/>
              </w:tabs>
              <w:adjustRightInd w:val="0"/>
              <w:snapToGrid w:val="0"/>
              <w:jc w:val="center"/>
              <w:rPr>
                <w:rFonts w:ascii="仿宋" w:hAnsi="仿宋" w:eastAsia="仿宋" w:cs="仿宋"/>
                <w:color w:val="000000"/>
                <w:sz w:val="22"/>
                <w:szCs w:val="24"/>
              </w:rPr>
            </w:pPr>
            <w:r>
              <w:rPr>
                <w:rFonts w:hint="eastAsia" w:ascii="仿宋" w:hAnsi="仿宋" w:eastAsia="仿宋" w:cs="仿宋"/>
                <w:color w:val="000000"/>
                <w:sz w:val="22"/>
                <w:szCs w:val="24"/>
              </w:rPr>
              <w:t>服务机构</w:t>
            </w:r>
          </w:p>
          <w:p>
            <w:pPr>
              <w:tabs>
                <w:tab w:val="left" w:pos="6660"/>
              </w:tabs>
              <w:adjustRightInd w:val="0"/>
              <w:snapToGrid w:val="0"/>
              <w:jc w:val="center"/>
              <w:rPr>
                <w:rFonts w:ascii="仿宋" w:hAnsi="仿宋" w:eastAsia="仿宋" w:cs="仿宋"/>
                <w:color w:val="000000"/>
                <w:sz w:val="22"/>
                <w:szCs w:val="24"/>
              </w:rPr>
            </w:pP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center"/>
              <w:rPr>
                <w:rFonts w:ascii="仿宋" w:hAnsi="仿宋" w:eastAsia="仿宋" w:cs="仿宋"/>
                <w:color w:val="000000"/>
                <w:sz w:val="22"/>
                <w:szCs w:val="24"/>
              </w:rPr>
            </w:pPr>
            <w:r>
              <w:rPr>
                <w:rFonts w:hint="eastAsia" w:ascii="仿宋" w:hAnsi="仿宋" w:eastAsia="仿宋" w:cs="仿宋"/>
                <w:color w:val="000000"/>
                <w:sz w:val="22"/>
                <w:szCs w:val="24"/>
              </w:rPr>
              <w:t>辖区内注册的职业卫生技术服务机构全覆盖检查</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1.资质证书</w:t>
            </w:r>
          </w:p>
        </w:tc>
        <w:tc>
          <w:tcPr>
            <w:tcW w:w="8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1.是否未取得职业卫生技术服务资质认可擅自从事职业卫生检测、评价技术服务；</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jc w:val="center"/>
        </w:trPr>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2.资质条件</w:t>
            </w:r>
          </w:p>
        </w:tc>
        <w:tc>
          <w:tcPr>
            <w:tcW w:w="8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kern w:val="0"/>
                <w:sz w:val="22"/>
                <w:szCs w:val="24"/>
              </w:rPr>
            </w:pPr>
            <w:r>
              <w:rPr>
                <w:rFonts w:hint="eastAsia" w:ascii="仿宋" w:hAnsi="仿宋" w:eastAsia="仿宋" w:cs="仿宋"/>
                <w:color w:val="000000"/>
                <w:sz w:val="22"/>
                <w:szCs w:val="24"/>
              </w:rPr>
              <w:t>已经取得资质的职业卫生技术服务机构，是否继续符合规定的资质条件；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blHeader/>
          <w:jc w:val="center"/>
        </w:trPr>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3.业务范围及出具证明</w:t>
            </w:r>
          </w:p>
        </w:tc>
        <w:tc>
          <w:tcPr>
            <w:tcW w:w="8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1.是否超出资质认可范围从事职业卫生技术服务；</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blHeader/>
          <w:jc w:val="center"/>
        </w:trPr>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4.技术服务相关工作要求</w:t>
            </w:r>
          </w:p>
        </w:tc>
        <w:tc>
          <w:tcPr>
            <w:tcW w:w="8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3.是否以书面形式与用人单位明确技术服务内容、范围以及双方的责任；</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4.是否转包职业卫生技术服务项目；</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5.是否擅自更改、简化职业卫生技术服务程序和相关内容；</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6.是否按规定在网上公开职业卫生技术报告相关信息。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blHeader/>
          <w:jc w:val="center"/>
        </w:trPr>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sz w:val="22"/>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5.专业技术人员管理</w:t>
            </w:r>
          </w:p>
        </w:tc>
        <w:tc>
          <w:tcPr>
            <w:tcW w:w="899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1.是否使用非本机构专业技术人员从事职业卫生技术服务活动的；</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2.是否安排未达到技术评审考核评估要求的专业技术人员参与职业卫生技术服务的；</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3.是否在职业卫生技术报告或者有关原始记录上代替他人签字；</w:t>
            </w:r>
          </w:p>
          <w:p>
            <w:pPr>
              <w:tabs>
                <w:tab w:val="left" w:pos="6660"/>
              </w:tabs>
              <w:adjustRightInd w:val="0"/>
              <w:snapToGrid w:val="0"/>
              <w:jc w:val="left"/>
              <w:rPr>
                <w:rFonts w:ascii="仿宋" w:hAnsi="仿宋" w:eastAsia="仿宋" w:cs="仿宋"/>
                <w:color w:val="000000"/>
                <w:sz w:val="22"/>
                <w:szCs w:val="24"/>
              </w:rPr>
            </w:pPr>
            <w:r>
              <w:rPr>
                <w:rFonts w:hint="eastAsia" w:ascii="仿宋" w:hAnsi="仿宋" w:eastAsia="仿宋" w:cs="仿宋"/>
                <w:color w:val="000000"/>
                <w:sz w:val="22"/>
                <w:szCs w:val="24"/>
              </w:rPr>
              <w:t>4.是否未参与相应职业卫生技术服务事项而在技术报告或者有关原始记录上签字。</w:t>
            </w:r>
          </w:p>
        </w:tc>
      </w:tr>
    </w:tbl>
    <w:p>
      <w:pPr>
        <w:jc w:val="left"/>
        <w:rPr>
          <w:rFonts w:ascii="黑体" w:hAnsi="宋体" w:eastAsia="黑体" w:cs="黑体"/>
          <w:color w:val="000000"/>
          <w:sz w:val="32"/>
          <w:szCs w:val="24"/>
        </w:rPr>
      </w:pPr>
    </w:p>
    <w:p>
      <w:pPr>
        <w:jc w:val="left"/>
        <w:rPr>
          <w:rFonts w:ascii="黑体" w:hAnsi="宋体" w:eastAsia="黑体" w:cs="黑体"/>
          <w:color w:val="000000"/>
        </w:rPr>
      </w:pPr>
      <w:r>
        <w:rPr>
          <w:rFonts w:hint="eastAsia" w:ascii="黑体" w:hAnsi="宋体" w:eastAsia="黑体" w:cs="黑体"/>
          <w:color w:val="000000"/>
          <w:sz w:val="32"/>
          <w:szCs w:val="24"/>
        </w:rPr>
        <w:t>附表4</w:t>
      </w:r>
    </w:p>
    <w:p>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2022年职业卫生技术服务机构国家随机监督抽查汇总表</w:t>
      </w:r>
    </w:p>
    <w:tbl>
      <w:tblPr>
        <w:tblStyle w:val="9"/>
        <w:tblW w:w="14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94"/>
        <w:gridCol w:w="462"/>
        <w:gridCol w:w="8"/>
        <w:gridCol w:w="473"/>
        <w:gridCol w:w="1252"/>
        <w:gridCol w:w="1735"/>
        <w:gridCol w:w="1545"/>
        <w:gridCol w:w="1325"/>
        <w:gridCol w:w="897"/>
        <w:gridCol w:w="1118"/>
        <w:gridCol w:w="1192"/>
        <w:gridCol w:w="687"/>
        <w:gridCol w:w="834"/>
        <w:gridCol w:w="856"/>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职业卫生技术服务机构类别</w:t>
            </w:r>
          </w:p>
        </w:tc>
        <w:tc>
          <w:tcPr>
            <w:tcW w:w="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辖区单位数</w:t>
            </w:r>
          </w:p>
        </w:tc>
        <w:tc>
          <w:tcPr>
            <w:tcW w:w="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抽查单位数</w:t>
            </w:r>
          </w:p>
        </w:tc>
        <w:tc>
          <w:tcPr>
            <w:tcW w:w="4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不合格单位数</w:t>
            </w:r>
          </w:p>
        </w:tc>
        <w:tc>
          <w:tcPr>
            <w:tcW w:w="9064" w:type="dxa"/>
            <w:gridSpan w:val="7"/>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不合格情况</w:t>
            </w:r>
          </w:p>
        </w:tc>
        <w:tc>
          <w:tcPr>
            <w:tcW w:w="3130"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2987"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资质证书</w:t>
            </w:r>
          </w:p>
        </w:tc>
        <w:tc>
          <w:tcPr>
            <w:tcW w:w="1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资质条件</w:t>
            </w:r>
          </w:p>
        </w:tc>
        <w:tc>
          <w:tcPr>
            <w:tcW w:w="4532"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技术服务规范性</w:t>
            </w:r>
          </w:p>
        </w:tc>
        <w:tc>
          <w:tcPr>
            <w:tcW w:w="687"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案件</w:t>
            </w:r>
          </w:p>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查处数</w:t>
            </w:r>
          </w:p>
        </w:tc>
        <w:tc>
          <w:tcPr>
            <w:tcW w:w="834"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警告</w:t>
            </w:r>
          </w:p>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单位数</w:t>
            </w:r>
          </w:p>
        </w:tc>
        <w:tc>
          <w:tcPr>
            <w:tcW w:w="856"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罚款</w:t>
            </w:r>
          </w:p>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c>
          <w:tcPr>
            <w:tcW w:w="753"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没收</w:t>
            </w:r>
          </w:p>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违法</w:t>
            </w:r>
          </w:p>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所得</w:t>
            </w:r>
          </w:p>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无资质擅自从事检测、评价服务单位数</w:t>
            </w:r>
          </w:p>
        </w:tc>
        <w:tc>
          <w:tcPr>
            <w:tcW w:w="17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涂改、倒卖、出租、出借或其他形式非法转让资质证书单位数</w:t>
            </w:r>
          </w:p>
        </w:tc>
        <w:tc>
          <w:tcPr>
            <w:tcW w:w="1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已经取得资质的机构不再继续符合资质条件单位数</w:t>
            </w:r>
          </w:p>
        </w:tc>
        <w:tc>
          <w:tcPr>
            <w:tcW w:w="13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05" w:leftChars="-50" w:right="-105" w:rightChar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超出资质认可范围从事职业卫生技术服务单位数</w:t>
            </w:r>
          </w:p>
        </w:tc>
        <w:tc>
          <w:tcPr>
            <w:tcW w:w="8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出具虚假证明文件单位数</w:t>
            </w:r>
          </w:p>
        </w:tc>
        <w:tc>
          <w:tcPr>
            <w:tcW w:w="111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不符合技术服务相关工作要求单位数</w:t>
            </w:r>
          </w:p>
        </w:tc>
        <w:tc>
          <w:tcPr>
            <w:tcW w:w="119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不符合专业技术人员管理要求单位数</w:t>
            </w:r>
          </w:p>
        </w:tc>
        <w:tc>
          <w:tcPr>
            <w:tcW w:w="68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Calibri" w:hAnsi="Calibri" w:eastAsia="宋体" w:cs="Times New Roman"/>
              </w:rPr>
            </w:pPr>
          </w:p>
        </w:tc>
        <w:tc>
          <w:tcPr>
            <w:tcW w:w="83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Calibri" w:hAnsi="Calibri" w:eastAsia="宋体" w:cs="Times New Roman"/>
              </w:rPr>
            </w:pPr>
          </w:p>
        </w:tc>
        <w:tc>
          <w:tcPr>
            <w:tcW w:w="85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Calibri" w:hAnsi="Calibri" w:eastAsia="宋体" w:cs="Times New Roman"/>
              </w:rPr>
            </w:pPr>
          </w:p>
        </w:tc>
        <w:tc>
          <w:tcPr>
            <w:tcW w:w="753"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49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470" w:type="dxa"/>
            <w:gridSpan w:val="2"/>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47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897"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1118"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1192"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687"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834"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856"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753"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49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470" w:type="dxa"/>
            <w:gridSpan w:val="2"/>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47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42" w:leftChars="-20" w:right="-42" w:rightChars="-20"/>
              <w:jc w:val="center"/>
              <w:rPr>
                <w:rFonts w:ascii="仿宋" w:hAnsi="仿宋" w:eastAsia="仿宋" w:cs="仿宋"/>
                <w:color w:val="000000"/>
                <w:kern w:val="0"/>
                <w:sz w:val="24"/>
                <w:szCs w:val="24"/>
              </w:rPr>
            </w:pPr>
          </w:p>
        </w:tc>
        <w:tc>
          <w:tcPr>
            <w:tcW w:w="897"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1118"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1192"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687"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834"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856"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c>
          <w:tcPr>
            <w:tcW w:w="753" w:type="dxa"/>
            <w:tcBorders>
              <w:top w:val="single" w:color="auto" w:sz="4" w:space="0"/>
              <w:left w:val="nil"/>
              <w:bottom w:val="single" w:color="auto" w:sz="4" w:space="0"/>
              <w:right w:val="single" w:color="auto" w:sz="4" w:space="0"/>
            </w:tcBorders>
            <w:shd w:val="clear" w:color="auto" w:fill="auto"/>
          </w:tcPr>
          <w:p>
            <w:pPr>
              <w:adjustRightInd w:val="0"/>
              <w:snapToGrid w:val="0"/>
              <w:ind w:left="-42" w:leftChars="-20" w:right="-42" w:rightChars="-20"/>
              <w:jc w:val="center"/>
              <w:rPr>
                <w:rFonts w:ascii="仿宋" w:hAnsi="仿宋" w:eastAsia="仿宋" w:cs="仿宋"/>
                <w:color w:val="000000"/>
                <w:kern w:val="0"/>
                <w:sz w:val="24"/>
                <w:szCs w:val="24"/>
              </w:rPr>
            </w:pPr>
          </w:p>
        </w:tc>
      </w:tr>
    </w:tbl>
    <w:p>
      <w:pPr>
        <w:jc w:val="center"/>
        <w:rPr>
          <w:rFonts w:ascii="仿宋" w:hAnsi="仿宋" w:eastAsia="仿宋" w:cs="仿宋"/>
          <w:b/>
          <w:color w:val="000000"/>
          <w:sz w:val="24"/>
          <w:szCs w:val="24"/>
        </w:rPr>
      </w:pPr>
    </w:p>
    <w:p>
      <w:pPr>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填报单位：                             填报人：                   联系电话：</w:t>
      </w:r>
    </w:p>
    <w:p>
      <w:pPr>
        <w:ind w:firstLine="480" w:firstLineChars="200"/>
        <w:rPr>
          <w:rFonts w:ascii="仿宋" w:hAnsi="仿宋" w:eastAsia="仿宋" w:cs="仿宋"/>
          <w:bCs/>
          <w:color w:val="000000"/>
          <w:sz w:val="24"/>
          <w:szCs w:val="24"/>
        </w:rPr>
      </w:pPr>
    </w:p>
    <w:p>
      <w:pPr>
        <w:rPr>
          <w:rFonts w:ascii="宋体" w:hAnsi="宋体" w:eastAsia="宋体" w:cs="宋体"/>
          <w:b/>
          <w:color w:val="000000"/>
          <w:sz w:val="28"/>
          <w:szCs w:val="24"/>
        </w:rPr>
      </w:pPr>
    </w:p>
    <w:p>
      <w:pPr>
        <w:widowControl/>
        <w:spacing w:line="360" w:lineRule="auto"/>
        <w:jc w:val="left"/>
        <w:rPr>
          <w:rFonts w:ascii="黑体" w:hAnsi="宋体" w:eastAsia="黑体" w:cs="黑体"/>
          <w:color w:val="000000"/>
        </w:rPr>
      </w:pPr>
    </w:p>
    <w:p>
      <w:pPr>
        <w:widowControl/>
        <w:spacing w:line="360" w:lineRule="auto"/>
        <w:jc w:val="left"/>
        <w:rPr>
          <w:rFonts w:ascii="黑体" w:hAnsi="宋体" w:eastAsia="黑体" w:cs="黑体"/>
          <w:color w:val="000000"/>
        </w:rPr>
      </w:pPr>
      <w:r>
        <w:rPr>
          <w:rFonts w:hint="eastAsia" w:ascii="黑体" w:hAnsi="宋体" w:eastAsia="黑体" w:cs="黑体"/>
          <w:color w:val="000000"/>
          <w:sz w:val="32"/>
          <w:szCs w:val="24"/>
        </w:rPr>
        <w:t>附表5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2022年放射诊疗、职业健康检查、职业病诊断机构和放射卫生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技术服务机构国家监督抽查工作计划表</w:t>
      </w:r>
    </w:p>
    <w:p>
      <w:pPr>
        <w:spacing w:line="0" w:lineRule="atLeast"/>
        <w:jc w:val="center"/>
        <w:rPr>
          <w:rFonts w:ascii="方正小标宋简体" w:hAnsi="方正小标宋简体" w:eastAsia="方正小标宋简体" w:cs="方正小标宋简体"/>
          <w:bCs/>
          <w:color w:val="000000"/>
          <w:sz w:val="36"/>
          <w:szCs w:val="36"/>
        </w:rPr>
      </w:pPr>
    </w:p>
    <w:tbl>
      <w:tblPr>
        <w:tblStyle w:val="9"/>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监督检查对象</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抽查</w:t>
            </w:r>
          </w:p>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比例</w:t>
            </w:r>
          </w:p>
        </w:tc>
        <w:tc>
          <w:tcPr>
            <w:tcW w:w="100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检查内容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放射诊疗机构</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(含中医医疗机构)</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0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职业健康检查机构</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10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职业病诊断机构</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00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放射卫生技术</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服务机构</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50%</w:t>
            </w:r>
          </w:p>
        </w:tc>
        <w:tc>
          <w:tcPr>
            <w:tcW w:w="10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000000"/>
                <w:sz w:val="24"/>
                <w:szCs w:val="24"/>
              </w:rPr>
            </w:pPr>
          </w:p>
        </w:tc>
      </w:tr>
    </w:tbl>
    <w:p>
      <w:pPr>
        <w:widowControl/>
        <w:spacing w:line="360" w:lineRule="auto"/>
        <w:jc w:val="left"/>
        <w:rPr>
          <w:rFonts w:ascii="黑体" w:hAnsi="宋体" w:eastAsia="黑体" w:cs="黑体"/>
          <w:color w:val="000000"/>
        </w:rPr>
      </w:pPr>
      <w:r>
        <w:rPr>
          <w:rFonts w:hint="eastAsia" w:ascii="黑体" w:hAnsi="宋体" w:eastAsia="黑体" w:cs="黑体"/>
          <w:color w:val="000000"/>
          <w:sz w:val="32"/>
          <w:szCs w:val="24"/>
        </w:rPr>
        <w:t>附表6</w:t>
      </w:r>
    </w:p>
    <w:p>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2022年放射诊疗机构国家监督抽查汇总表</w:t>
      </w:r>
    </w:p>
    <w:tbl>
      <w:tblPr>
        <w:tblStyle w:val="9"/>
        <w:tblW w:w="13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795"/>
        <w:gridCol w:w="840"/>
        <w:gridCol w:w="795"/>
        <w:gridCol w:w="855"/>
        <w:gridCol w:w="975"/>
        <w:gridCol w:w="840"/>
        <w:gridCol w:w="915"/>
        <w:gridCol w:w="900"/>
        <w:gridCol w:w="915"/>
        <w:gridCol w:w="870"/>
        <w:gridCol w:w="849"/>
        <w:gridCol w:w="54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单位类别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辖区内单位总数</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检查单位数</w:t>
            </w:r>
          </w:p>
        </w:tc>
        <w:tc>
          <w:tcPr>
            <w:tcW w:w="1034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不合格情况</w:t>
            </w:r>
          </w:p>
        </w:tc>
        <w:tc>
          <w:tcPr>
            <w:tcW w:w="1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放射诊疗建设项目不符合有关规定单位数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放射诊疗场所及其防护措施不符合有关规定单位数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放射诊疗设备及配套设施不符合有关规定单位数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放射工作人员管理不符合有关规定单位数</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开展放射诊疗的人员条件不符合有关规定单位数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对患者、受检者及其他非放射工作人员的保护不符合有关规定单位数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放射事件预防处置不符合有关规定单位数</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职业病人管理不符合有关规定单位数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档案管理与体系建设不符合有关规定单位数</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核医学诊疗过程不符合有关规定单位数</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放射性同位素管理不符合有关规定单位数</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放射治疗过程不符合有关规定单位数</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案件查处数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放射诊疗机构</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合计</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r>
    </w:tbl>
    <w:p>
      <w:pPr>
        <w:ind w:firstLine="562" w:firstLineChars="200"/>
        <w:rPr>
          <w:rFonts w:ascii="宋体" w:hAnsi="宋体" w:eastAsia="宋体" w:cs="宋体"/>
          <w:b/>
          <w:color w:val="000000"/>
          <w:sz w:val="28"/>
          <w:szCs w:val="24"/>
        </w:rPr>
      </w:pPr>
    </w:p>
    <w:p>
      <w:pPr>
        <w:ind w:firstLine="421" w:firstLineChars="200"/>
        <w:rPr>
          <w:rFonts w:ascii="宋体" w:hAnsi="宋体" w:eastAsia="宋体" w:cs="宋体"/>
          <w:b/>
          <w:color w:val="000000"/>
        </w:rPr>
      </w:pPr>
    </w:p>
    <w:p>
      <w:pPr>
        <w:spacing w:line="0" w:lineRule="atLeast"/>
        <w:rPr>
          <w:rFonts w:ascii="黑体" w:hAnsi="宋体" w:eastAsia="黑体" w:cs="黑体"/>
          <w:color w:val="000000"/>
        </w:rPr>
      </w:pPr>
      <w:r>
        <w:rPr>
          <w:rFonts w:hint="eastAsia" w:ascii="黑体" w:hAnsi="宋体" w:eastAsia="黑体" w:cs="黑体"/>
          <w:color w:val="000000"/>
          <w:sz w:val="32"/>
          <w:szCs w:val="24"/>
        </w:rPr>
        <w:t>附表7</w:t>
      </w:r>
    </w:p>
    <w:p>
      <w:pPr>
        <w:spacing w:line="0" w:lineRule="atLeas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2022年职业健康检查机构、职业病诊断机构及放射卫生</w:t>
      </w:r>
    </w:p>
    <w:p>
      <w:pPr>
        <w:spacing w:line="0" w:lineRule="atLeas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技术服务机构国家监督抽查汇总表</w:t>
      </w:r>
    </w:p>
    <w:p>
      <w:pPr>
        <w:widowControl/>
        <w:spacing w:line="240" w:lineRule="atLeast"/>
        <w:jc w:val="left"/>
        <w:rPr>
          <w:rFonts w:ascii="黑体" w:hAnsi="宋体" w:eastAsia="黑体" w:cs="黑体"/>
          <w:color w:val="000000"/>
        </w:rPr>
      </w:pPr>
    </w:p>
    <w:tbl>
      <w:tblPr>
        <w:tblStyle w:val="9"/>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929"/>
        <w:gridCol w:w="824"/>
        <w:gridCol w:w="1064"/>
        <w:gridCol w:w="975"/>
        <w:gridCol w:w="945"/>
        <w:gridCol w:w="900"/>
        <w:gridCol w:w="990"/>
        <w:gridCol w:w="960"/>
        <w:gridCol w:w="945"/>
        <w:gridCol w:w="1124"/>
        <w:gridCol w:w="1569"/>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辖区内单位总数</w:t>
            </w:r>
          </w:p>
        </w:tc>
        <w:tc>
          <w:tcPr>
            <w:tcW w:w="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检查单位数</w:t>
            </w:r>
          </w:p>
        </w:tc>
        <w:tc>
          <w:tcPr>
            <w:tcW w:w="94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不合格情况</w:t>
            </w:r>
          </w:p>
        </w:tc>
        <w:tc>
          <w:tcPr>
            <w:tcW w:w="12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2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人员不能满足工作要求单位数</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出具虚假证明文件</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档案管理不符合相关要求单位数</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管理制度不符合相关要求单位数</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劳动者保护不符合相关要求单位数</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案件查处数</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职业健康检查机构</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职业病诊断机构</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放射卫生技术</w:t>
            </w:r>
          </w:p>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服务机构</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合  计</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 w:hAnsi="仿宋" w:eastAsia="仿宋" w:cs="仿宋"/>
                <w:color w:val="000000"/>
                <w:sz w:val="24"/>
                <w:szCs w:val="24"/>
              </w:rPr>
            </w:pPr>
          </w:p>
        </w:tc>
      </w:tr>
    </w:tbl>
    <w:p/>
    <w:sectPr>
      <w:headerReference r:id="rId5" w:type="default"/>
      <w:footerReference r:id="rId6" w:type="default"/>
      <w:pgSz w:w="16838" w:h="11906" w:orient="landscape"/>
      <w:pgMar w:top="1644" w:right="1474" w:bottom="1531" w:left="1588" w:header="284" w:footer="283"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7</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7</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5"/>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-520065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56</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0.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v9i07NUAAAAI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56</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10"/>
  <w:drawingGridVerticalSpacing w:val="21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WRlMDRjMThkNGI2ZGY4YmJhYjc0MmVkYzliNDUifQ=="/>
  </w:docVars>
  <w:rsids>
    <w:rsidRoot w:val="007B32AF"/>
    <w:rsid w:val="0000092B"/>
    <w:rsid w:val="000039BF"/>
    <w:rsid w:val="000049CB"/>
    <w:rsid w:val="00006439"/>
    <w:rsid w:val="00017346"/>
    <w:rsid w:val="000212AF"/>
    <w:rsid w:val="00033CD2"/>
    <w:rsid w:val="00047CF7"/>
    <w:rsid w:val="00051A7F"/>
    <w:rsid w:val="00062BD4"/>
    <w:rsid w:val="00066FEC"/>
    <w:rsid w:val="00082687"/>
    <w:rsid w:val="000950D5"/>
    <w:rsid w:val="00096229"/>
    <w:rsid w:val="000975AC"/>
    <w:rsid w:val="000A4EFC"/>
    <w:rsid w:val="000D6A8A"/>
    <w:rsid w:val="000E2722"/>
    <w:rsid w:val="000F4D19"/>
    <w:rsid w:val="000F59CF"/>
    <w:rsid w:val="001027F7"/>
    <w:rsid w:val="00120C2D"/>
    <w:rsid w:val="00127245"/>
    <w:rsid w:val="00127A9F"/>
    <w:rsid w:val="0014244B"/>
    <w:rsid w:val="0014404C"/>
    <w:rsid w:val="00145FD8"/>
    <w:rsid w:val="001514EB"/>
    <w:rsid w:val="00151696"/>
    <w:rsid w:val="00151703"/>
    <w:rsid w:val="00162107"/>
    <w:rsid w:val="00171B7B"/>
    <w:rsid w:val="00182007"/>
    <w:rsid w:val="001870E7"/>
    <w:rsid w:val="00195115"/>
    <w:rsid w:val="001A2C9C"/>
    <w:rsid w:val="001A3E20"/>
    <w:rsid w:val="001A7155"/>
    <w:rsid w:val="001B4C98"/>
    <w:rsid w:val="001B7CD4"/>
    <w:rsid w:val="001C2105"/>
    <w:rsid w:val="001C6DF3"/>
    <w:rsid w:val="001D2972"/>
    <w:rsid w:val="001D67C1"/>
    <w:rsid w:val="001D6AFB"/>
    <w:rsid w:val="001E1C3A"/>
    <w:rsid w:val="001E3B53"/>
    <w:rsid w:val="001E476C"/>
    <w:rsid w:val="001E5526"/>
    <w:rsid w:val="001F068E"/>
    <w:rsid w:val="001F0D54"/>
    <w:rsid w:val="00203023"/>
    <w:rsid w:val="00204B5D"/>
    <w:rsid w:val="00215908"/>
    <w:rsid w:val="00216DB4"/>
    <w:rsid w:val="002230F3"/>
    <w:rsid w:val="002264D8"/>
    <w:rsid w:val="002304E6"/>
    <w:rsid w:val="00230575"/>
    <w:rsid w:val="00232243"/>
    <w:rsid w:val="0023416D"/>
    <w:rsid w:val="00250C25"/>
    <w:rsid w:val="00252DFC"/>
    <w:rsid w:val="0025561F"/>
    <w:rsid w:val="00256B1B"/>
    <w:rsid w:val="0025742F"/>
    <w:rsid w:val="00257D81"/>
    <w:rsid w:val="00265F74"/>
    <w:rsid w:val="002717DA"/>
    <w:rsid w:val="00277340"/>
    <w:rsid w:val="00280D2B"/>
    <w:rsid w:val="002828EF"/>
    <w:rsid w:val="0029532C"/>
    <w:rsid w:val="002A24FC"/>
    <w:rsid w:val="002C198F"/>
    <w:rsid w:val="002C5258"/>
    <w:rsid w:val="002C5D43"/>
    <w:rsid w:val="002D41A0"/>
    <w:rsid w:val="002D6F69"/>
    <w:rsid w:val="002E564A"/>
    <w:rsid w:val="002F081F"/>
    <w:rsid w:val="002F5233"/>
    <w:rsid w:val="002F60BC"/>
    <w:rsid w:val="002F66A3"/>
    <w:rsid w:val="00302A24"/>
    <w:rsid w:val="00302CF9"/>
    <w:rsid w:val="00306398"/>
    <w:rsid w:val="0030664F"/>
    <w:rsid w:val="0031116C"/>
    <w:rsid w:val="00314EFA"/>
    <w:rsid w:val="003201F2"/>
    <w:rsid w:val="0032039A"/>
    <w:rsid w:val="003244AF"/>
    <w:rsid w:val="00330F2B"/>
    <w:rsid w:val="0033335D"/>
    <w:rsid w:val="00336A01"/>
    <w:rsid w:val="00347F85"/>
    <w:rsid w:val="0036263B"/>
    <w:rsid w:val="003628C7"/>
    <w:rsid w:val="0036463E"/>
    <w:rsid w:val="003744F2"/>
    <w:rsid w:val="00374D75"/>
    <w:rsid w:val="00380C9F"/>
    <w:rsid w:val="00383C78"/>
    <w:rsid w:val="00387188"/>
    <w:rsid w:val="003900BB"/>
    <w:rsid w:val="003B41EE"/>
    <w:rsid w:val="003B7627"/>
    <w:rsid w:val="003C1277"/>
    <w:rsid w:val="003C3355"/>
    <w:rsid w:val="003D0D28"/>
    <w:rsid w:val="003E2835"/>
    <w:rsid w:val="003F356E"/>
    <w:rsid w:val="003F45C9"/>
    <w:rsid w:val="004019D5"/>
    <w:rsid w:val="00415808"/>
    <w:rsid w:val="004302C7"/>
    <w:rsid w:val="00431BE8"/>
    <w:rsid w:val="004326F8"/>
    <w:rsid w:val="004366A9"/>
    <w:rsid w:val="004420D3"/>
    <w:rsid w:val="00453490"/>
    <w:rsid w:val="00455650"/>
    <w:rsid w:val="00457859"/>
    <w:rsid w:val="004604BC"/>
    <w:rsid w:val="004617CB"/>
    <w:rsid w:val="004631E1"/>
    <w:rsid w:val="00470829"/>
    <w:rsid w:val="004719A0"/>
    <w:rsid w:val="004778DD"/>
    <w:rsid w:val="0048421F"/>
    <w:rsid w:val="00485994"/>
    <w:rsid w:val="00494FB0"/>
    <w:rsid w:val="0049524E"/>
    <w:rsid w:val="004A225B"/>
    <w:rsid w:val="004A22B2"/>
    <w:rsid w:val="004B1CCC"/>
    <w:rsid w:val="004B6BD0"/>
    <w:rsid w:val="004C4053"/>
    <w:rsid w:val="004C5BD5"/>
    <w:rsid w:val="004D4B35"/>
    <w:rsid w:val="004E3DED"/>
    <w:rsid w:val="004E7B79"/>
    <w:rsid w:val="004F5CF2"/>
    <w:rsid w:val="005035E2"/>
    <w:rsid w:val="0051013F"/>
    <w:rsid w:val="00510243"/>
    <w:rsid w:val="00510A17"/>
    <w:rsid w:val="00514D22"/>
    <w:rsid w:val="00520EA7"/>
    <w:rsid w:val="005334A6"/>
    <w:rsid w:val="005425C6"/>
    <w:rsid w:val="0054477D"/>
    <w:rsid w:val="005475CB"/>
    <w:rsid w:val="00553810"/>
    <w:rsid w:val="00562901"/>
    <w:rsid w:val="00565EDF"/>
    <w:rsid w:val="00570924"/>
    <w:rsid w:val="00575AB7"/>
    <w:rsid w:val="005819B3"/>
    <w:rsid w:val="005A0054"/>
    <w:rsid w:val="005A0BBC"/>
    <w:rsid w:val="005A12D0"/>
    <w:rsid w:val="005A1F60"/>
    <w:rsid w:val="005A210A"/>
    <w:rsid w:val="005A2350"/>
    <w:rsid w:val="005B2182"/>
    <w:rsid w:val="005B48AD"/>
    <w:rsid w:val="005B7201"/>
    <w:rsid w:val="005B7F50"/>
    <w:rsid w:val="005C18BB"/>
    <w:rsid w:val="005D2EF6"/>
    <w:rsid w:val="005D4297"/>
    <w:rsid w:val="005F3D1D"/>
    <w:rsid w:val="006004F8"/>
    <w:rsid w:val="00605A36"/>
    <w:rsid w:val="00605ACA"/>
    <w:rsid w:val="00613AE6"/>
    <w:rsid w:val="00615620"/>
    <w:rsid w:val="00617ACC"/>
    <w:rsid w:val="006235B3"/>
    <w:rsid w:val="00625E02"/>
    <w:rsid w:val="00627E4C"/>
    <w:rsid w:val="006302D5"/>
    <w:rsid w:val="00646B26"/>
    <w:rsid w:val="0065187C"/>
    <w:rsid w:val="0065190E"/>
    <w:rsid w:val="00652FF1"/>
    <w:rsid w:val="00655BFF"/>
    <w:rsid w:val="0066391B"/>
    <w:rsid w:val="0066705C"/>
    <w:rsid w:val="00671AF9"/>
    <w:rsid w:val="00686BC4"/>
    <w:rsid w:val="0068799D"/>
    <w:rsid w:val="00692A6C"/>
    <w:rsid w:val="006A58DA"/>
    <w:rsid w:val="006A60A8"/>
    <w:rsid w:val="006A6F48"/>
    <w:rsid w:val="006B243A"/>
    <w:rsid w:val="006B2D00"/>
    <w:rsid w:val="006B47B3"/>
    <w:rsid w:val="006B62EA"/>
    <w:rsid w:val="006C750B"/>
    <w:rsid w:val="006D1C51"/>
    <w:rsid w:val="006D3BD5"/>
    <w:rsid w:val="006E3B8A"/>
    <w:rsid w:val="006E5B64"/>
    <w:rsid w:val="006E6473"/>
    <w:rsid w:val="006F2595"/>
    <w:rsid w:val="006F57E7"/>
    <w:rsid w:val="00701D9B"/>
    <w:rsid w:val="00707204"/>
    <w:rsid w:val="00713727"/>
    <w:rsid w:val="00713AE1"/>
    <w:rsid w:val="00715FD4"/>
    <w:rsid w:val="007170B0"/>
    <w:rsid w:val="00726A23"/>
    <w:rsid w:val="0073203B"/>
    <w:rsid w:val="00733F71"/>
    <w:rsid w:val="00740C68"/>
    <w:rsid w:val="00743727"/>
    <w:rsid w:val="00745AE1"/>
    <w:rsid w:val="00750815"/>
    <w:rsid w:val="00750DDE"/>
    <w:rsid w:val="00753546"/>
    <w:rsid w:val="00756417"/>
    <w:rsid w:val="00757409"/>
    <w:rsid w:val="00757B25"/>
    <w:rsid w:val="0077047D"/>
    <w:rsid w:val="00773B5D"/>
    <w:rsid w:val="00795FCB"/>
    <w:rsid w:val="007A2F0C"/>
    <w:rsid w:val="007A38EE"/>
    <w:rsid w:val="007A6FA5"/>
    <w:rsid w:val="007A785F"/>
    <w:rsid w:val="007B1557"/>
    <w:rsid w:val="007B18C8"/>
    <w:rsid w:val="007B32AF"/>
    <w:rsid w:val="007B5C1E"/>
    <w:rsid w:val="007C09B6"/>
    <w:rsid w:val="007C43C6"/>
    <w:rsid w:val="007C50E3"/>
    <w:rsid w:val="007C6143"/>
    <w:rsid w:val="007E0247"/>
    <w:rsid w:val="007E4C84"/>
    <w:rsid w:val="007E4F71"/>
    <w:rsid w:val="007F58D7"/>
    <w:rsid w:val="007F76F8"/>
    <w:rsid w:val="008045D3"/>
    <w:rsid w:val="0080523F"/>
    <w:rsid w:val="00813FBC"/>
    <w:rsid w:val="008213BB"/>
    <w:rsid w:val="00821EB6"/>
    <w:rsid w:val="00826197"/>
    <w:rsid w:val="008322D8"/>
    <w:rsid w:val="0083427F"/>
    <w:rsid w:val="0084633A"/>
    <w:rsid w:val="00852232"/>
    <w:rsid w:val="008530D2"/>
    <w:rsid w:val="008544C2"/>
    <w:rsid w:val="00855594"/>
    <w:rsid w:val="00855DF7"/>
    <w:rsid w:val="00856827"/>
    <w:rsid w:val="008613D4"/>
    <w:rsid w:val="00863250"/>
    <w:rsid w:val="0086736D"/>
    <w:rsid w:val="00871C1D"/>
    <w:rsid w:val="00881A37"/>
    <w:rsid w:val="00892609"/>
    <w:rsid w:val="00893B5F"/>
    <w:rsid w:val="00893DFC"/>
    <w:rsid w:val="00897A90"/>
    <w:rsid w:val="008A3644"/>
    <w:rsid w:val="008A5BC9"/>
    <w:rsid w:val="008B1D31"/>
    <w:rsid w:val="008B291C"/>
    <w:rsid w:val="008B4E26"/>
    <w:rsid w:val="008B527F"/>
    <w:rsid w:val="008C25BE"/>
    <w:rsid w:val="008C2EA2"/>
    <w:rsid w:val="008E0029"/>
    <w:rsid w:val="008E5CC0"/>
    <w:rsid w:val="00904023"/>
    <w:rsid w:val="0090565B"/>
    <w:rsid w:val="00914778"/>
    <w:rsid w:val="00916565"/>
    <w:rsid w:val="00927C5A"/>
    <w:rsid w:val="00932AA5"/>
    <w:rsid w:val="00951113"/>
    <w:rsid w:val="00953431"/>
    <w:rsid w:val="009578AF"/>
    <w:rsid w:val="0097134D"/>
    <w:rsid w:val="00990EA0"/>
    <w:rsid w:val="009A1343"/>
    <w:rsid w:val="009A59FD"/>
    <w:rsid w:val="009A78D1"/>
    <w:rsid w:val="009B287D"/>
    <w:rsid w:val="009D584C"/>
    <w:rsid w:val="009E64C5"/>
    <w:rsid w:val="009F0B39"/>
    <w:rsid w:val="009F12FE"/>
    <w:rsid w:val="009F4306"/>
    <w:rsid w:val="009F43FC"/>
    <w:rsid w:val="009F6826"/>
    <w:rsid w:val="009F6972"/>
    <w:rsid w:val="00A00E02"/>
    <w:rsid w:val="00A01F28"/>
    <w:rsid w:val="00A0280D"/>
    <w:rsid w:val="00A0621B"/>
    <w:rsid w:val="00A22ECE"/>
    <w:rsid w:val="00A247E5"/>
    <w:rsid w:val="00A254AD"/>
    <w:rsid w:val="00A3300E"/>
    <w:rsid w:val="00A338D9"/>
    <w:rsid w:val="00A366AD"/>
    <w:rsid w:val="00A375ED"/>
    <w:rsid w:val="00A46BC2"/>
    <w:rsid w:val="00A477AF"/>
    <w:rsid w:val="00A5157C"/>
    <w:rsid w:val="00A551FF"/>
    <w:rsid w:val="00A578FE"/>
    <w:rsid w:val="00A6325C"/>
    <w:rsid w:val="00A67B4D"/>
    <w:rsid w:val="00A739B9"/>
    <w:rsid w:val="00A82955"/>
    <w:rsid w:val="00A82FFF"/>
    <w:rsid w:val="00A8602F"/>
    <w:rsid w:val="00AA15F4"/>
    <w:rsid w:val="00AA5494"/>
    <w:rsid w:val="00AB50DA"/>
    <w:rsid w:val="00AC4235"/>
    <w:rsid w:val="00AC544E"/>
    <w:rsid w:val="00AE20E2"/>
    <w:rsid w:val="00AE2483"/>
    <w:rsid w:val="00AE4D76"/>
    <w:rsid w:val="00B1031D"/>
    <w:rsid w:val="00B17C71"/>
    <w:rsid w:val="00B22850"/>
    <w:rsid w:val="00B27853"/>
    <w:rsid w:val="00B32719"/>
    <w:rsid w:val="00B3374D"/>
    <w:rsid w:val="00B33CE5"/>
    <w:rsid w:val="00B4550E"/>
    <w:rsid w:val="00B57697"/>
    <w:rsid w:val="00B601D4"/>
    <w:rsid w:val="00B634C9"/>
    <w:rsid w:val="00B64D93"/>
    <w:rsid w:val="00B71D60"/>
    <w:rsid w:val="00B725DE"/>
    <w:rsid w:val="00B76BD5"/>
    <w:rsid w:val="00B77DFD"/>
    <w:rsid w:val="00B81663"/>
    <w:rsid w:val="00B913C5"/>
    <w:rsid w:val="00BA1759"/>
    <w:rsid w:val="00BB3E09"/>
    <w:rsid w:val="00BB44D7"/>
    <w:rsid w:val="00BB681F"/>
    <w:rsid w:val="00BC3BDD"/>
    <w:rsid w:val="00BD2A60"/>
    <w:rsid w:val="00BD6454"/>
    <w:rsid w:val="00BE3087"/>
    <w:rsid w:val="00C03D04"/>
    <w:rsid w:val="00C11A3C"/>
    <w:rsid w:val="00C16E1F"/>
    <w:rsid w:val="00C221C6"/>
    <w:rsid w:val="00C27BA6"/>
    <w:rsid w:val="00C3180E"/>
    <w:rsid w:val="00C3571B"/>
    <w:rsid w:val="00C42B1C"/>
    <w:rsid w:val="00C44579"/>
    <w:rsid w:val="00C45636"/>
    <w:rsid w:val="00C47986"/>
    <w:rsid w:val="00C65846"/>
    <w:rsid w:val="00C67A13"/>
    <w:rsid w:val="00C7547F"/>
    <w:rsid w:val="00C75623"/>
    <w:rsid w:val="00C84C88"/>
    <w:rsid w:val="00C91383"/>
    <w:rsid w:val="00C964BA"/>
    <w:rsid w:val="00CA005C"/>
    <w:rsid w:val="00CA4CB5"/>
    <w:rsid w:val="00CB1628"/>
    <w:rsid w:val="00CC07A6"/>
    <w:rsid w:val="00CC14A1"/>
    <w:rsid w:val="00CE1190"/>
    <w:rsid w:val="00CE3E41"/>
    <w:rsid w:val="00CE516B"/>
    <w:rsid w:val="00CF29A3"/>
    <w:rsid w:val="00CF5AFE"/>
    <w:rsid w:val="00CF71C6"/>
    <w:rsid w:val="00CF781B"/>
    <w:rsid w:val="00D0007F"/>
    <w:rsid w:val="00D25FEA"/>
    <w:rsid w:val="00D27086"/>
    <w:rsid w:val="00D3097D"/>
    <w:rsid w:val="00D36653"/>
    <w:rsid w:val="00D438D4"/>
    <w:rsid w:val="00D44A9E"/>
    <w:rsid w:val="00D45C28"/>
    <w:rsid w:val="00D50267"/>
    <w:rsid w:val="00D51941"/>
    <w:rsid w:val="00D53E9C"/>
    <w:rsid w:val="00D56291"/>
    <w:rsid w:val="00D62A5F"/>
    <w:rsid w:val="00D63A98"/>
    <w:rsid w:val="00D64B6C"/>
    <w:rsid w:val="00D661AD"/>
    <w:rsid w:val="00D86C08"/>
    <w:rsid w:val="00D951B3"/>
    <w:rsid w:val="00DA6563"/>
    <w:rsid w:val="00DB2583"/>
    <w:rsid w:val="00DC1819"/>
    <w:rsid w:val="00DC27E4"/>
    <w:rsid w:val="00DC4C67"/>
    <w:rsid w:val="00DD07C6"/>
    <w:rsid w:val="00DD44A6"/>
    <w:rsid w:val="00DD531A"/>
    <w:rsid w:val="00DD59F1"/>
    <w:rsid w:val="00DE532A"/>
    <w:rsid w:val="00DE7F50"/>
    <w:rsid w:val="00DF0F96"/>
    <w:rsid w:val="00DF128C"/>
    <w:rsid w:val="00E040D7"/>
    <w:rsid w:val="00E04EDD"/>
    <w:rsid w:val="00E11299"/>
    <w:rsid w:val="00E1636D"/>
    <w:rsid w:val="00E1709B"/>
    <w:rsid w:val="00E22C94"/>
    <w:rsid w:val="00E25F9C"/>
    <w:rsid w:val="00E42BAA"/>
    <w:rsid w:val="00E43A1A"/>
    <w:rsid w:val="00E471B5"/>
    <w:rsid w:val="00E53372"/>
    <w:rsid w:val="00E540E4"/>
    <w:rsid w:val="00E542A0"/>
    <w:rsid w:val="00E61B53"/>
    <w:rsid w:val="00E65C05"/>
    <w:rsid w:val="00E823F1"/>
    <w:rsid w:val="00E862EF"/>
    <w:rsid w:val="00E90A58"/>
    <w:rsid w:val="00EA719A"/>
    <w:rsid w:val="00EB2B3E"/>
    <w:rsid w:val="00EB4227"/>
    <w:rsid w:val="00EB53DF"/>
    <w:rsid w:val="00EB7ABF"/>
    <w:rsid w:val="00ED2054"/>
    <w:rsid w:val="00ED3248"/>
    <w:rsid w:val="00ED5595"/>
    <w:rsid w:val="00ED6F05"/>
    <w:rsid w:val="00ED7EF3"/>
    <w:rsid w:val="00EE1FFB"/>
    <w:rsid w:val="00EF16B6"/>
    <w:rsid w:val="00EF268B"/>
    <w:rsid w:val="00EF7669"/>
    <w:rsid w:val="00F02950"/>
    <w:rsid w:val="00F1091A"/>
    <w:rsid w:val="00F1575F"/>
    <w:rsid w:val="00F24402"/>
    <w:rsid w:val="00F278BB"/>
    <w:rsid w:val="00F33358"/>
    <w:rsid w:val="00F43813"/>
    <w:rsid w:val="00F44C0F"/>
    <w:rsid w:val="00F45227"/>
    <w:rsid w:val="00F46FB8"/>
    <w:rsid w:val="00F54382"/>
    <w:rsid w:val="00F57F3A"/>
    <w:rsid w:val="00F638D2"/>
    <w:rsid w:val="00F6553D"/>
    <w:rsid w:val="00F77CC3"/>
    <w:rsid w:val="00F90AA2"/>
    <w:rsid w:val="00F913A8"/>
    <w:rsid w:val="00F93BA1"/>
    <w:rsid w:val="00F978F6"/>
    <w:rsid w:val="00FA2A10"/>
    <w:rsid w:val="00FA536C"/>
    <w:rsid w:val="00FB1BC7"/>
    <w:rsid w:val="00FB2303"/>
    <w:rsid w:val="00FB3F77"/>
    <w:rsid w:val="00FC6579"/>
    <w:rsid w:val="00FD1C7C"/>
    <w:rsid w:val="00FD314A"/>
    <w:rsid w:val="00FD52D9"/>
    <w:rsid w:val="00FD6786"/>
    <w:rsid w:val="00FE53E1"/>
    <w:rsid w:val="00FF0516"/>
    <w:rsid w:val="02B9B7BB"/>
    <w:rsid w:val="04A7535A"/>
    <w:rsid w:val="11FE4746"/>
    <w:rsid w:val="17BEF5E9"/>
    <w:rsid w:val="17BF5217"/>
    <w:rsid w:val="1AD7F23B"/>
    <w:rsid w:val="1DF46C61"/>
    <w:rsid w:val="1FDF9A71"/>
    <w:rsid w:val="1FFE7BD7"/>
    <w:rsid w:val="2EEB6812"/>
    <w:rsid w:val="31C17E77"/>
    <w:rsid w:val="37CD0C68"/>
    <w:rsid w:val="37D68A2D"/>
    <w:rsid w:val="39A80A7A"/>
    <w:rsid w:val="3AFE617C"/>
    <w:rsid w:val="3BEF3DB1"/>
    <w:rsid w:val="3BFF1F5A"/>
    <w:rsid w:val="3E5F57D4"/>
    <w:rsid w:val="3EFF9E84"/>
    <w:rsid w:val="3F5F6586"/>
    <w:rsid w:val="3FBF29E2"/>
    <w:rsid w:val="3FD7B691"/>
    <w:rsid w:val="3FF7E896"/>
    <w:rsid w:val="3FF98CE3"/>
    <w:rsid w:val="53FF8CEC"/>
    <w:rsid w:val="556D132A"/>
    <w:rsid w:val="56FE17CC"/>
    <w:rsid w:val="57BF1954"/>
    <w:rsid w:val="57FCB34F"/>
    <w:rsid w:val="5D9F8356"/>
    <w:rsid w:val="5F9B52C7"/>
    <w:rsid w:val="5FB27B51"/>
    <w:rsid w:val="5FFFE89F"/>
    <w:rsid w:val="63C7196A"/>
    <w:rsid w:val="67EF6E1F"/>
    <w:rsid w:val="6B787E4C"/>
    <w:rsid w:val="6B9F6C11"/>
    <w:rsid w:val="6BCFAEB1"/>
    <w:rsid w:val="6BFD61EC"/>
    <w:rsid w:val="6FFD1A33"/>
    <w:rsid w:val="768F35BB"/>
    <w:rsid w:val="77DCDF4E"/>
    <w:rsid w:val="77EB0C84"/>
    <w:rsid w:val="79A657CE"/>
    <w:rsid w:val="7BD76F37"/>
    <w:rsid w:val="7C7B6D87"/>
    <w:rsid w:val="7CCE78E2"/>
    <w:rsid w:val="7D9C5524"/>
    <w:rsid w:val="7DB93853"/>
    <w:rsid w:val="7DCDC8D5"/>
    <w:rsid w:val="7F7B42B5"/>
    <w:rsid w:val="7FBE9A4A"/>
    <w:rsid w:val="7FCF5B05"/>
    <w:rsid w:val="7FD92E72"/>
    <w:rsid w:val="7FDFB422"/>
    <w:rsid w:val="7FF2161C"/>
    <w:rsid w:val="96EF6027"/>
    <w:rsid w:val="A3BDB425"/>
    <w:rsid w:val="AAFFCB7B"/>
    <w:rsid w:val="AEFAA0A7"/>
    <w:rsid w:val="BDE5A19F"/>
    <w:rsid w:val="BDEFE5C4"/>
    <w:rsid w:val="BEF7EB61"/>
    <w:rsid w:val="CFDF7562"/>
    <w:rsid w:val="CFF7F34C"/>
    <w:rsid w:val="D7F73A0B"/>
    <w:rsid w:val="DB9FABAB"/>
    <w:rsid w:val="DDDBBD51"/>
    <w:rsid w:val="DDFD6FC9"/>
    <w:rsid w:val="DF7CF62B"/>
    <w:rsid w:val="DFAD9BDC"/>
    <w:rsid w:val="DFED33AB"/>
    <w:rsid w:val="E1FFACBC"/>
    <w:rsid w:val="E7CEB24F"/>
    <w:rsid w:val="EEBD0990"/>
    <w:rsid w:val="EEF32E8C"/>
    <w:rsid w:val="EFDC3D52"/>
    <w:rsid w:val="EFDF257F"/>
    <w:rsid w:val="EFFE2AE4"/>
    <w:rsid w:val="F177D72B"/>
    <w:rsid w:val="F1FE20E3"/>
    <w:rsid w:val="F3DF6BA5"/>
    <w:rsid w:val="F3F6B882"/>
    <w:rsid w:val="F3FF6B38"/>
    <w:rsid w:val="F3FFC28E"/>
    <w:rsid w:val="F7B72B79"/>
    <w:rsid w:val="F7DBAA0D"/>
    <w:rsid w:val="F7FB42D4"/>
    <w:rsid w:val="FAFFA2A2"/>
    <w:rsid w:val="FBF74EFA"/>
    <w:rsid w:val="FBFFD641"/>
    <w:rsid w:val="FDBBBFBC"/>
    <w:rsid w:val="FEDD78CE"/>
    <w:rsid w:val="FF4F9251"/>
    <w:rsid w:val="FF7F4996"/>
    <w:rsid w:val="FFBBBDF9"/>
    <w:rsid w:val="FFBD6063"/>
    <w:rsid w:val="FFCF5F07"/>
    <w:rsid w:val="FFEF8A47"/>
    <w:rsid w:val="FFF38365"/>
    <w:rsid w:val="FFFDEE3A"/>
    <w:rsid w:val="FFFF60AE"/>
    <w:rsid w:val="FFFF7547"/>
    <w:rsid w:val="FFFFC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方正仿宋简体" w:hAnsi="方正仿宋简体" w:eastAsia="方正仿宋简体" w:cs="方正仿宋简体"/>
      <w:kern w:val="0"/>
      <w:sz w:val="31"/>
      <w:szCs w:val="31"/>
      <w:lang w:val="zh-CN" w:bidi="zh-CN"/>
    </w:rPr>
  </w:style>
  <w:style w:type="paragraph" w:styleId="4">
    <w:name w:val="Balloon Text"/>
    <w:basedOn w:val="1"/>
    <w:link w:val="16"/>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outlineLvl w:val="1"/>
    </w:pPr>
    <w:rPr>
      <w:rFonts w:ascii="Cambria" w:hAnsi="Cambria" w:eastAsia="楷体_GB2312" w:cs="Times New Roman"/>
      <w:b/>
      <w:bCs/>
      <w:kern w:val="28"/>
      <w:sz w:val="3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page number"/>
    <w:basedOn w:val="11"/>
    <w:qFormat/>
    <w:uiPriority w:val="0"/>
  </w:style>
  <w:style w:type="character" w:styleId="13">
    <w:name w:val="Hyperlink"/>
    <w:basedOn w:val="11"/>
    <w:unhideWhenUsed/>
    <w:qFormat/>
    <w:uiPriority w:val="0"/>
    <w:rPr>
      <w:color w:val="0000FF"/>
      <w:u w:val="single"/>
    </w:rPr>
  </w:style>
  <w:style w:type="character" w:customStyle="1" w:styleId="14">
    <w:name w:val="页眉 Char"/>
    <w:basedOn w:val="11"/>
    <w:link w:val="6"/>
    <w:qFormat/>
    <w:uiPriority w:val="0"/>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qFormat/>
    <w:uiPriority w:val="0"/>
    <w:rPr>
      <w:sz w:val="18"/>
      <w:szCs w:val="18"/>
    </w:rPr>
  </w:style>
  <w:style w:type="character" w:customStyle="1" w:styleId="17">
    <w:name w:val="正文文本 Char"/>
    <w:basedOn w:val="11"/>
    <w:link w:val="3"/>
    <w:qFormat/>
    <w:uiPriority w:val="1"/>
    <w:rPr>
      <w:rFonts w:ascii="方正仿宋简体" w:hAnsi="方正仿宋简体" w:eastAsia="方正仿宋简体" w:cs="方正仿宋简体"/>
      <w:kern w:val="0"/>
      <w:sz w:val="31"/>
      <w:szCs w:val="31"/>
      <w:lang w:val="zh-CN" w:bidi="zh-CN"/>
    </w:rPr>
  </w:style>
  <w:style w:type="paragraph" w:styleId="18">
    <w:name w:val="List Paragraph"/>
    <w:basedOn w:val="1"/>
    <w:qFormat/>
    <w:uiPriority w:val="99"/>
    <w:pPr>
      <w:ind w:firstLine="420" w:firstLineChars="200"/>
    </w:pPr>
    <w:rPr>
      <w:rFonts w:ascii="Times New Roman" w:hAnsi="Times New Roman" w:eastAsia="仿宋_GB2312" w:cs="Times New Roman"/>
      <w:sz w:val="32"/>
      <w:szCs w:val="24"/>
    </w:rPr>
  </w:style>
  <w:style w:type="character" w:customStyle="1" w:styleId="19">
    <w:name w:val="标题 1 Char"/>
    <w:basedOn w:val="11"/>
    <w:link w:val="2"/>
    <w:qFormat/>
    <w:uiPriority w:val="0"/>
    <w:rPr>
      <w:rFonts w:eastAsia="黑体"/>
      <w:b/>
      <w:bCs/>
      <w:kern w:val="44"/>
      <w:sz w:val="32"/>
      <w:szCs w:val="44"/>
    </w:rPr>
  </w:style>
  <w:style w:type="character" w:customStyle="1" w:styleId="20">
    <w:name w:val="副标题 Char"/>
    <w:basedOn w:val="11"/>
    <w:link w:val="7"/>
    <w:qFormat/>
    <w:uiPriority w:val="0"/>
    <w:rPr>
      <w:rFonts w:ascii="Cambria" w:hAnsi="Cambria" w:eastAsia="楷体_GB2312"/>
      <w:b/>
      <w:bCs/>
      <w:kern w:val="28"/>
      <w:sz w:val="32"/>
      <w:szCs w:val="32"/>
    </w:rPr>
  </w:style>
  <w:style w:type="paragraph" w:customStyle="1" w:styleId="21">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4782</Words>
  <Characters>27258</Characters>
  <Lines>227</Lines>
  <Paragraphs>63</Paragraphs>
  <TotalTime>0</TotalTime>
  <ScaleCrop>false</ScaleCrop>
  <LinksUpToDate>false</LinksUpToDate>
  <CharactersWithSpaces>31977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2022-06-26T06:58:00Z</dcterms:created>
  <dc:creator>任吉红</dc:creator>
  <cp:lastModifiedBy>wjw</cp:lastModifiedBy>
  <dcterms:modified xsi:type="dcterms:W3CDTF">2022-06-28T14:41:51Z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252A0652A1294CCF98FED0ADEA884F83</vt:lpwstr>
  </property>
</Properties>
</file>