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Cs/>
          <w:sz w:val="32"/>
          <w:szCs w:val="32"/>
        </w:rPr>
      </w:pPr>
      <w:r>
        <w:rPr>
          <w:rFonts w:hint="eastAsia" w:ascii="黑体" w:hAnsi="黑体" w:eastAsia="黑体"/>
          <w:bCs/>
          <w:sz w:val="32"/>
          <w:szCs w:val="32"/>
        </w:rPr>
        <w:t>附件4</w:t>
      </w:r>
    </w:p>
    <w:p>
      <w:pPr>
        <w:rPr>
          <w:rFonts w:hint="eastAsia" w:ascii="方正小标宋简体" w:eastAsia="方正小标宋简体"/>
          <w:bCs/>
          <w:sz w:val="6"/>
          <w:szCs w:val="6"/>
        </w:rPr>
      </w:pPr>
    </w:p>
    <w:p>
      <w:pPr>
        <w:spacing w:line="60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rPr>
        <w:t>宁夏2022年医疗卫生随机监督抽查</w:t>
      </w:r>
      <w:r>
        <w:rPr>
          <w:rFonts w:hint="eastAsia" w:ascii="方正小标宋简体" w:eastAsia="方正小标宋简体"/>
          <w:bCs/>
          <w:sz w:val="44"/>
          <w:szCs w:val="44"/>
          <w:lang w:eastAsia="zh-CN"/>
        </w:rPr>
        <w:t>计划</w:t>
      </w:r>
    </w:p>
    <w:p>
      <w:r>
        <w:rPr>
          <w:rFonts w:hint="eastAsia"/>
        </w:rPr>
        <w:t xml:space="preserve"> </w:t>
      </w:r>
    </w:p>
    <w:p>
      <w:pPr>
        <w:pStyle w:val="3"/>
        <w:keepNext w:val="0"/>
        <w:keepLines w:val="0"/>
        <w:pageBreakBefore w:val="0"/>
        <w:kinsoku/>
        <w:wordWrap/>
        <w:overflowPunct/>
        <w:topLinePunct w:val="0"/>
        <w:bidi w:val="0"/>
        <w:adjustRightInd/>
        <w:snapToGrid/>
        <w:spacing w:line="560" w:lineRule="exact"/>
        <w:ind w:right="285" w:firstLine="630"/>
        <w:jc w:val="both"/>
        <w:textAlignment w:val="auto"/>
        <w:rPr>
          <w:rFonts w:ascii="黑体" w:hAnsi="黑体" w:eastAsia="黑体"/>
          <w:sz w:val="32"/>
          <w:szCs w:val="32"/>
        </w:rPr>
      </w:pPr>
      <w:r>
        <w:rPr>
          <w:rFonts w:hint="eastAsia" w:ascii="黑体" w:hAnsi="黑体" w:eastAsia="黑体"/>
          <w:sz w:val="32"/>
          <w:szCs w:val="32"/>
        </w:rPr>
        <w:t>一、监督抽查对象和范围</w:t>
      </w:r>
    </w:p>
    <w:p>
      <w:pPr>
        <w:pStyle w:val="3"/>
        <w:keepNext w:val="0"/>
        <w:keepLines w:val="0"/>
        <w:pageBreakBefore w:val="0"/>
        <w:kinsoku/>
        <w:wordWrap/>
        <w:overflowPunct/>
        <w:topLinePunct w:val="0"/>
        <w:bidi w:val="0"/>
        <w:adjustRightInd/>
        <w:snapToGrid/>
        <w:spacing w:line="560" w:lineRule="exact"/>
        <w:ind w:right="285" w:firstLine="630"/>
        <w:jc w:val="both"/>
        <w:textAlignment w:val="auto"/>
        <w:rPr>
          <w:rFonts w:ascii="黑体" w:hAnsi="黑体" w:eastAsia="黑体"/>
          <w:sz w:val="32"/>
          <w:szCs w:val="32"/>
        </w:rPr>
      </w:pPr>
      <w:r>
        <w:rPr>
          <w:rFonts w:hint="eastAsia" w:ascii="楷体" w:hAnsi="楷体" w:eastAsia="楷体" w:cs="仿宋"/>
          <w:b/>
          <w:bCs w:val="0"/>
          <w:spacing w:val="-14"/>
          <w:sz w:val="32"/>
          <w:szCs w:val="32"/>
        </w:rPr>
        <w:t>（一）医疗机构。</w:t>
      </w:r>
      <w:r>
        <w:rPr>
          <w:rFonts w:hint="eastAsia" w:ascii="仿宋" w:hAnsi="仿宋" w:eastAsia="仿宋"/>
          <w:spacing w:val="-4"/>
          <w:sz w:val="32"/>
          <w:szCs w:val="32"/>
        </w:rPr>
        <w:t>抽查辖区医院（含中医院），抽查比例为6%；抽查辖区社区卫生服务机构、卫生院、村卫生室（所）、诊所和其他医疗机构，抽查比例为2%。</w:t>
      </w:r>
    </w:p>
    <w:p>
      <w:pPr>
        <w:pStyle w:val="3"/>
        <w:keepNext w:val="0"/>
        <w:keepLines w:val="0"/>
        <w:pageBreakBefore w:val="0"/>
        <w:kinsoku/>
        <w:wordWrap/>
        <w:overflowPunct/>
        <w:topLinePunct w:val="0"/>
        <w:bidi w:val="0"/>
        <w:adjustRightInd/>
        <w:snapToGrid/>
        <w:spacing w:line="560" w:lineRule="exact"/>
        <w:ind w:left="206" w:right="291" w:firstLine="518"/>
        <w:jc w:val="both"/>
        <w:textAlignment w:val="auto"/>
        <w:rPr>
          <w:rFonts w:ascii="仿宋" w:hAnsi="仿宋" w:eastAsia="仿宋"/>
          <w:color w:val="000000" w:themeColor="text1"/>
          <w:spacing w:val="-4"/>
          <w:sz w:val="32"/>
          <w:szCs w:val="32"/>
          <w14:textFill>
            <w14:solidFill>
              <w14:schemeClr w14:val="tx1"/>
            </w14:solidFill>
          </w14:textFill>
        </w:rPr>
      </w:pPr>
      <w:r>
        <w:rPr>
          <w:rFonts w:hint="eastAsia" w:ascii="楷体" w:hAnsi="楷体" w:eastAsia="楷体" w:cs="仿宋"/>
          <w:b/>
          <w:bCs w:val="0"/>
          <w:spacing w:val="-14"/>
          <w:sz w:val="32"/>
          <w:szCs w:val="32"/>
        </w:rPr>
        <w:t>（二）采供血机构。</w:t>
      </w:r>
      <w:r>
        <w:rPr>
          <w:rFonts w:hint="eastAsia" w:ascii="仿宋" w:hAnsi="仿宋" w:eastAsia="仿宋"/>
          <w:color w:val="000000" w:themeColor="text1"/>
          <w:spacing w:val="-4"/>
          <w:sz w:val="32"/>
          <w:szCs w:val="32"/>
          <w14:textFill>
            <w14:solidFill>
              <w14:schemeClr w14:val="tx1"/>
            </w14:solidFill>
          </w14:textFill>
        </w:rPr>
        <w:t>辖区一般血站、单采血浆站全覆盖检查，抽查比例100%。</w:t>
      </w:r>
    </w:p>
    <w:p>
      <w:pPr>
        <w:pStyle w:val="3"/>
        <w:keepNext w:val="0"/>
        <w:keepLines w:val="0"/>
        <w:pageBreakBefore w:val="0"/>
        <w:kinsoku/>
        <w:wordWrap/>
        <w:overflowPunct/>
        <w:topLinePunct w:val="0"/>
        <w:bidi w:val="0"/>
        <w:adjustRightInd/>
        <w:snapToGrid/>
        <w:spacing w:line="560" w:lineRule="exact"/>
        <w:ind w:right="285" w:firstLine="630"/>
        <w:jc w:val="both"/>
        <w:textAlignment w:val="auto"/>
        <w:rPr>
          <w:rFonts w:ascii="黑体" w:hAnsi="黑体" w:eastAsia="黑体"/>
          <w:sz w:val="32"/>
          <w:szCs w:val="32"/>
        </w:rPr>
      </w:pPr>
      <w:r>
        <w:rPr>
          <w:rFonts w:hint="eastAsia" w:ascii="楷体" w:hAnsi="楷体" w:eastAsia="楷体" w:cs="仿宋"/>
          <w:b/>
          <w:bCs w:val="0"/>
          <w:spacing w:val="-14"/>
          <w:sz w:val="32"/>
          <w:szCs w:val="32"/>
        </w:rPr>
        <w:t>（三）母婴保健、计划生育技术服务机构。</w:t>
      </w:r>
      <w:r>
        <w:rPr>
          <w:rFonts w:hint="eastAsia" w:ascii="仿宋" w:hAnsi="仿宋" w:eastAsia="仿宋"/>
          <w:spacing w:val="-4"/>
          <w:sz w:val="32"/>
          <w:szCs w:val="32"/>
        </w:rPr>
        <w:t>抽查辖区母婴保健、计划生育技术服务机构，抽取比例为50%。</w:t>
      </w:r>
    </w:p>
    <w:p>
      <w:pPr>
        <w:keepNext w:val="0"/>
        <w:keepLines w:val="0"/>
        <w:pageBreakBefore w:val="0"/>
        <w:kinsoku/>
        <w:wordWrap/>
        <w:overflowPunct/>
        <w:topLinePunct w:val="0"/>
        <w:bidi w:val="0"/>
        <w:adjustRightInd/>
        <w:snapToGrid/>
        <w:spacing w:line="560" w:lineRule="exact"/>
        <w:ind w:firstLine="630"/>
        <w:textAlignment w:val="auto"/>
        <w:rPr>
          <w:rFonts w:ascii="黑体" w:hAnsi="楷体" w:eastAsia="黑体"/>
          <w:kern w:val="0"/>
          <w:sz w:val="32"/>
          <w:szCs w:val="32"/>
        </w:rPr>
      </w:pPr>
      <w:r>
        <w:rPr>
          <w:rFonts w:hint="eastAsia" w:ascii="黑体" w:hAnsi="黑体" w:eastAsia="黑体"/>
          <w:kern w:val="0"/>
          <w:sz w:val="32"/>
          <w:szCs w:val="32"/>
        </w:rPr>
        <w:t>二、监督抽查内容</w:t>
      </w:r>
    </w:p>
    <w:p>
      <w:pPr>
        <w:keepNext w:val="0"/>
        <w:keepLines w:val="0"/>
        <w:pageBreakBefore w:val="0"/>
        <w:kinsoku/>
        <w:wordWrap/>
        <w:overflowPunct/>
        <w:topLinePunct w:val="0"/>
        <w:bidi w:val="0"/>
        <w:adjustRightInd/>
        <w:snapToGrid/>
        <w:spacing w:line="560" w:lineRule="exact"/>
        <w:ind w:firstLine="630"/>
        <w:textAlignment w:val="auto"/>
        <w:rPr>
          <w:rFonts w:ascii="楷体" w:hAnsi="楷体" w:eastAsia="楷体" w:cs="仿宋"/>
          <w:b/>
          <w:bCs w:val="0"/>
          <w:spacing w:val="-14"/>
          <w:kern w:val="0"/>
          <w:sz w:val="32"/>
          <w:szCs w:val="32"/>
        </w:rPr>
      </w:pPr>
      <w:r>
        <w:rPr>
          <w:rFonts w:hint="eastAsia" w:ascii="楷体" w:hAnsi="楷体" w:eastAsia="楷体" w:cs="仿宋"/>
          <w:b/>
          <w:bCs w:val="0"/>
          <w:spacing w:val="-14"/>
          <w:kern w:val="0"/>
          <w:sz w:val="32"/>
          <w:szCs w:val="32"/>
        </w:rPr>
        <w:t>（一）医疗机构监督。</w:t>
      </w:r>
    </w:p>
    <w:p>
      <w:pPr>
        <w:keepNext w:val="0"/>
        <w:keepLines w:val="0"/>
        <w:pageBreakBefore w:val="0"/>
        <w:kinsoku/>
        <w:wordWrap/>
        <w:overflowPunct/>
        <w:topLinePunct w:val="0"/>
        <w:bidi w:val="0"/>
        <w:adjustRightInd/>
        <w:snapToGrid/>
        <w:spacing w:line="560" w:lineRule="exact"/>
        <w:ind w:firstLine="630"/>
        <w:textAlignment w:val="auto"/>
        <w:rPr>
          <w:rFonts w:ascii="黑体" w:hAnsi="楷体" w:eastAsia="黑体"/>
          <w:kern w:val="0"/>
          <w:sz w:val="32"/>
          <w:szCs w:val="32"/>
        </w:rPr>
      </w:pPr>
      <w:r>
        <w:rPr>
          <w:rFonts w:hint="eastAsia" w:ascii="仿宋" w:hAnsi="仿宋" w:eastAsia="仿宋"/>
          <w:spacing w:val="-4"/>
          <w:sz w:val="32"/>
          <w:szCs w:val="32"/>
        </w:rPr>
        <w:t>检查医疗机构资质(《医疗机构执业许可证》或《诊所备案证书》、人员资格、诊疗活动、健康体检、医学检验)管理情况,医疗卫生人员管理情况,药品(麻醉药品、精神药品、抗菌药物)和医疗器械管理情况,医疗技术(医疗美容、临床基因扩增、干细胞临床研究、临床研究项目)管理情况,医疗文书(处方、病历、医学证明文件等)管理情况, 临床用血(用血来源、管理组织和制度,血液储存,应急用血采血)等。</w:t>
      </w:r>
    </w:p>
    <w:p>
      <w:pPr>
        <w:keepNext w:val="0"/>
        <w:keepLines w:val="0"/>
        <w:pageBreakBefore w:val="0"/>
        <w:kinsoku/>
        <w:wordWrap/>
        <w:overflowPunct/>
        <w:topLinePunct w:val="0"/>
        <w:bidi w:val="0"/>
        <w:adjustRightInd/>
        <w:snapToGrid/>
        <w:spacing w:line="560" w:lineRule="exact"/>
        <w:textAlignment w:val="auto"/>
        <w:rPr>
          <w:rFonts w:ascii="楷体" w:hAnsi="楷体" w:eastAsia="楷体" w:cs="仿宋"/>
          <w:b/>
          <w:bCs/>
          <w:spacing w:val="-14"/>
          <w:kern w:val="0"/>
          <w:sz w:val="32"/>
          <w:szCs w:val="32"/>
        </w:rPr>
      </w:pPr>
      <w:r>
        <w:rPr>
          <w:rFonts w:hint="eastAsia" w:ascii="楷体_GB2312" w:eastAsia="楷体_GB2312"/>
          <w:b/>
          <w:bCs/>
          <w:kern w:val="0"/>
          <w:sz w:val="32"/>
          <w:szCs w:val="32"/>
        </w:rPr>
        <w:t xml:space="preserve">   </w:t>
      </w:r>
      <w:r>
        <w:rPr>
          <w:rFonts w:hint="eastAsia" w:ascii="楷体" w:hAnsi="楷体" w:eastAsia="楷体"/>
          <w:b/>
          <w:bCs/>
          <w:kern w:val="0"/>
          <w:sz w:val="32"/>
          <w:szCs w:val="32"/>
        </w:rPr>
        <w:t xml:space="preserve"> </w:t>
      </w:r>
      <w:r>
        <w:rPr>
          <w:rFonts w:hint="eastAsia" w:ascii="楷体" w:hAnsi="楷体" w:eastAsia="楷体" w:cs="仿宋"/>
          <w:b/>
          <w:bCs/>
          <w:spacing w:val="-14"/>
          <w:kern w:val="0"/>
          <w:sz w:val="32"/>
          <w:szCs w:val="32"/>
        </w:rPr>
        <w:t>（二）采供血机构监督。</w:t>
      </w:r>
    </w:p>
    <w:p>
      <w:pPr>
        <w:keepNext w:val="0"/>
        <w:keepLines w:val="0"/>
        <w:pageBreakBefore w:val="0"/>
        <w:widowControl/>
        <w:kinsoku/>
        <w:wordWrap/>
        <w:overflowPunct/>
        <w:topLinePunct w:val="0"/>
        <w:bidi w:val="0"/>
        <w:adjustRightInd/>
        <w:snapToGrid/>
        <w:spacing w:line="560" w:lineRule="exact"/>
        <w:jc w:val="left"/>
        <w:textAlignment w:val="auto"/>
        <w:rPr>
          <w:rFonts w:ascii="仿宋" w:hAnsi="仿宋" w:eastAsia="仿宋" w:cs="Times New Roman"/>
          <w:sz w:val="32"/>
          <w:szCs w:val="32"/>
        </w:rPr>
      </w:pPr>
      <w:r>
        <w:rPr>
          <w:rFonts w:hint="eastAsia" w:ascii="仿宋" w:hAnsi="仿宋" w:eastAsia="仿宋"/>
          <w:sz w:val="32"/>
          <w:szCs w:val="32"/>
        </w:rPr>
        <w:t xml:space="preserve">    1.一般血站（血液中心、中心血站）。检查资质情况、血源管理情况、血液检测情况、包装储存供应情况、医疗废物处理情况等。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2.单采血浆站。检查单采血浆站资质情况、供血浆者管理情况、检测与采集情况、血浆储存情况、医疗废物处理情况等。</w:t>
      </w:r>
    </w:p>
    <w:p>
      <w:pPr>
        <w:keepNext w:val="0"/>
        <w:keepLines w:val="0"/>
        <w:pageBreakBefore w:val="0"/>
        <w:widowControl/>
        <w:kinsoku/>
        <w:wordWrap/>
        <w:overflowPunct/>
        <w:topLinePunct w:val="0"/>
        <w:bidi w:val="0"/>
        <w:adjustRightInd/>
        <w:snapToGrid/>
        <w:spacing w:line="560" w:lineRule="exact"/>
        <w:ind w:firstLine="587" w:firstLineChars="200"/>
        <w:jc w:val="left"/>
        <w:textAlignment w:val="auto"/>
        <w:rPr>
          <w:rFonts w:ascii="仿宋" w:hAnsi="仿宋" w:eastAsia="仿宋"/>
          <w:b/>
          <w:bCs w:val="0"/>
          <w:sz w:val="32"/>
          <w:szCs w:val="32"/>
        </w:rPr>
      </w:pPr>
      <w:r>
        <w:rPr>
          <w:rFonts w:hint="eastAsia" w:ascii="楷体" w:hAnsi="楷体" w:eastAsia="楷体" w:cs="仿宋"/>
          <w:b/>
          <w:bCs w:val="0"/>
          <w:spacing w:val="-14"/>
          <w:kern w:val="0"/>
          <w:sz w:val="32"/>
          <w:szCs w:val="32"/>
        </w:rPr>
        <w:t>（三）母婴保健、计划生育技术服务机构监督。</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检查开展母婴保健、计划生育技术服务的机构执业资质和人员执业资格情况，开展人类辅助生殖技术等服务的机构执业资质情况；机构和人员法律法规执行情况；机构制度建立情况等；</w:t>
      </w:r>
      <w:r>
        <w:rPr>
          <w:rFonts w:hint="eastAsia" w:ascii="仿宋" w:hAnsi="仿宋" w:eastAsia="仿宋"/>
          <w:spacing w:val="-7"/>
          <w:sz w:val="32"/>
          <w:szCs w:val="32"/>
        </w:rPr>
        <w:t>出生医学证明证件管理情况等。</w:t>
      </w:r>
    </w:p>
    <w:p>
      <w:pPr>
        <w:pStyle w:val="3"/>
        <w:keepNext w:val="0"/>
        <w:keepLines w:val="0"/>
        <w:pageBreakBefore w:val="0"/>
        <w:kinsoku/>
        <w:wordWrap/>
        <w:overflowPunct/>
        <w:topLinePunct w:val="0"/>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三、时间安排</w:t>
      </w:r>
    </w:p>
    <w:p>
      <w:pPr>
        <w:pStyle w:val="3"/>
        <w:keepNext w:val="0"/>
        <w:keepLines w:val="0"/>
        <w:pageBreakBefore w:val="0"/>
        <w:kinsoku/>
        <w:wordWrap/>
        <w:overflowPunct/>
        <w:topLinePunct w:val="0"/>
        <w:bidi w:val="0"/>
        <w:adjustRightInd/>
        <w:snapToGrid/>
        <w:spacing w:line="560" w:lineRule="exact"/>
        <w:ind w:left="215" w:right="285" w:firstLine="513"/>
        <w:jc w:val="both"/>
        <w:textAlignment w:val="auto"/>
        <w:rPr>
          <w:rFonts w:ascii="仿宋" w:hAnsi="仿宋" w:eastAsia="仿宋" w:cs="Times New Roman"/>
          <w:color w:val="000000" w:themeColor="text1"/>
          <w:kern w:val="2"/>
          <w:sz w:val="32"/>
          <w:szCs w:val="32"/>
          <w14:textFill>
            <w14:solidFill>
              <w14:schemeClr w14:val="tx1"/>
            </w14:solidFill>
          </w14:textFill>
        </w:rPr>
      </w:pPr>
      <w:r>
        <w:rPr>
          <w:rFonts w:hint="eastAsia" w:ascii="楷体" w:hAnsi="楷体" w:eastAsia="楷体" w:cs="仿宋"/>
          <w:b/>
          <w:bCs w:val="0"/>
          <w:color w:val="000000" w:themeColor="text1"/>
          <w:spacing w:val="-14"/>
          <w:sz w:val="32"/>
          <w:szCs w:val="32"/>
          <w14:textFill>
            <w14:solidFill>
              <w14:schemeClr w14:val="tx1"/>
            </w14:solidFill>
          </w14:textFill>
        </w:rPr>
        <w:t>（一）动员部署阶段（2022年6月）。</w:t>
      </w:r>
      <w:r>
        <w:rPr>
          <w:rFonts w:hint="eastAsia" w:ascii="仿宋" w:hAnsi="仿宋" w:eastAsia="仿宋"/>
          <w:color w:val="000000" w:themeColor="text1"/>
          <w:spacing w:val="3"/>
          <w14:textFill>
            <w14:solidFill>
              <w14:schemeClr w14:val="tx1"/>
            </w14:solidFill>
          </w14:textFill>
        </w:rPr>
        <w:t>各市、县（区）</w:t>
      </w:r>
      <w:r>
        <w:rPr>
          <w:rFonts w:hint="eastAsia" w:ascii="仿宋" w:hAnsi="仿宋" w:eastAsia="仿宋"/>
          <w:color w:val="000000" w:themeColor="text1"/>
          <w14:textFill>
            <w14:solidFill>
              <w14:schemeClr w14:val="tx1"/>
            </w14:solidFill>
          </w14:textFill>
        </w:rPr>
        <w:t>卫生健康行政部门</w:t>
      </w:r>
      <w:r>
        <w:rPr>
          <w:rFonts w:hint="eastAsia" w:ascii="仿宋" w:hAnsi="仿宋" w:eastAsia="仿宋" w:cs="Times New Roman"/>
          <w:color w:val="000000" w:themeColor="text1"/>
          <w:kern w:val="2"/>
          <w:sz w:val="32"/>
          <w:szCs w:val="32"/>
          <w14:textFill>
            <w14:solidFill>
              <w14:schemeClr w14:val="tx1"/>
            </w14:solidFill>
          </w14:textFill>
        </w:rPr>
        <w:t>要高度重视，制订具体实施方案，建立工作机制，统一检查标准，开展动员培训，全面部署国家随机监督抽查任务；要求辖区内各医疗机构、血站、单采血浆站、</w:t>
      </w:r>
      <w:r>
        <w:rPr>
          <w:rFonts w:hint="eastAsia" w:ascii="仿宋" w:hAnsi="仿宋" w:eastAsia="仿宋" w:cs="方正细等线_GBK"/>
          <w:color w:val="000000" w:themeColor="text1"/>
          <w14:textFill>
            <w14:solidFill>
              <w14:schemeClr w14:val="tx1"/>
            </w14:solidFill>
          </w14:textFill>
        </w:rPr>
        <w:t>母婴保健、计划生育技术服务机构</w:t>
      </w:r>
      <w:r>
        <w:rPr>
          <w:rFonts w:hint="eastAsia" w:ascii="仿宋" w:hAnsi="仿宋" w:eastAsia="仿宋" w:cs="Times New Roman"/>
          <w:color w:val="000000" w:themeColor="text1"/>
          <w:kern w:val="2"/>
          <w:sz w:val="32"/>
          <w:szCs w:val="32"/>
          <w14:textFill>
            <w14:solidFill>
              <w14:schemeClr w14:val="tx1"/>
            </w14:solidFill>
          </w14:textFill>
        </w:rPr>
        <w:t>全面开展自查，及时纠正违法违规行为，对发现的问题积极进行整改。</w:t>
      </w:r>
    </w:p>
    <w:p>
      <w:pPr>
        <w:pStyle w:val="3"/>
        <w:keepNext w:val="0"/>
        <w:keepLines w:val="0"/>
        <w:pageBreakBefore w:val="0"/>
        <w:kinsoku/>
        <w:wordWrap/>
        <w:overflowPunct/>
        <w:topLinePunct w:val="0"/>
        <w:bidi w:val="0"/>
        <w:adjustRightInd/>
        <w:snapToGrid/>
        <w:spacing w:line="560" w:lineRule="exact"/>
        <w:ind w:left="215" w:right="285" w:firstLine="513"/>
        <w:jc w:val="both"/>
        <w:textAlignment w:val="auto"/>
        <w:rPr>
          <w:rFonts w:ascii="仿宋" w:hAnsi="仿宋" w:eastAsia="仿宋" w:cs="Times New Roman"/>
          <w:color w:val="000000" w:themeColor="text1"/>
          <w:kern w:val="2"/>
          <w:sz w:val="32"/>
          <w:szCs w:val="32"/>
          <w14:textFill>
            <w14:solidFill>
              <w14:schemeClr w14:val="tx1"/>
            </w14:solidFill>
          </w14:textFill>
        </w:rPr>
      </w:pPr>
      <w:r>
        <w:rPr>
          <w:rFonts w:hint="eastAsia" w:ascii="楷体" w:hAnsi="楷体" w:eastAsia="楷体" w:cs="仿宋"/>
          <w:b/>
          <w:bCs w:val="0"/>
          <w:color w:val="000000" w:themeColor="text1"/>
          <w:spacing w:val="-14"/>
          <w:sz w:val="32"/>
          <w:szCs w:val="32"/>
          <w14:textFill>
            <w14:solidFill>
              <w14:schemeClr w14:val="tx1"/>
            </w14:solidFill>
          </w14:textFill>
        </w:rPr>
        <w:t>（二）组织实施阶段（2022年7～10月）。</w:t>
      </w:r>
      <w:r>
        <w:rPr>
          <w:rFonts w:hint="eastAsia" w:ascii="仿宋" w:hAnsi="仿宋" w:eastAsia="仿宋"/>
          <w:color w:val="000000" w:themeColor="text1"/>
          <w:spacing w:val="3"/>
          <w14:textFill>
            <w14:solidFill>
              <w14:schemeClr w14:val="tx1"/>
            </w14:solidFill>
          </w14:textFill>
        </w:rPr>
        <w:t>各市、县（区）</w:t>
      </w:r>
      <w:r>
        <w:rPr>
          <w:rFonts w:hint="eastAsia" w:ascii="仿宋" w:hAnsi="仿宋" w:eastAsia="仿宋"/>
          <w:color w:val="000000" w:themeColor="text1"/>
          <w14:textFill>
            <w14:solidFill>
              <w14:schemeClr w14:val="tx1"/>
            </w14:solidFill>
          </w14:textFill>
        </w:rPr>
        <w:t>卫生健康行政部门</w:t>
      </w:r>
      <w:r>
        <w:rPr>
          <w:rFonts w:hint="eastAsia" w:ascii="仿宋" w:hAnsi="仿宋" w:eastAsia="仿宋" w:cs="Times New Roman"/>
          <w:color w:val="000000" w:themeColor="text1"/>
          <w:kern w:val="2"/>
          <w:sz w:val="32"/>
          <w:szCs w:val="32"/>
          <w14:textFill>
            <w14:solidFill>
              <w14:schemeClr w14:val="tx1"/>
            </w14:solidFill>
          </w14:textFill>
        </w:rPr>
        <w:t>和监督机构认真组织落实国家随机监督抽查工作，统筹医疗乱象专项治理等其他重点检查和日常性监督检查任务，联合开展检查，做到一次进入，所有内容全覆盖。</w:t>
      </w:r>
    </w:p>
    <w:p>
      <w:pPr>
        <w:keepNext w:val="0"/>
        <w:keepLines w:val="0"/>
        <w:pageBreakBefore w:val="0"/>
        <w:widowControl/>
        <w:kinsoku/>
        <w:wordWrap/>
        <w:overflowPunct/>
        <w:topLinePunct w:val="0"/>
        <w:bidi w:val="0"/>
        <w:adjustRightInd/>
        <w:snapToGrid/>
        <w:spacing w:line="560" w:lineRule="exact"/>
        <w:ind w:firstLine="643" w:firstLineChars="200"/>
        <w:jc w:val="left"/>
        <w:textAlignment w:val="auto"/>
        <w:rPr>
          <w:rFonts w:ascii="仿宋" w:hAnsi="仿宋" w:eastAsia="仿宋" w:cs="Times New Roman"/>
          <w:kern w:val="2"/>
          <w:sz w:val="32"/>
          <w:szCs w:val="32"/>
          <w:lang w:val="en-US"/>
        </w:rPr>
      </w:pPr>
      <w:r>
        <w:rPr>
          <w:rFonts w:hint="eastAsia" w:ascii="楷体" w:hAnsi="楷体" w:eastAsia="楷体" w:cs="楷体"/>
          <w:b/>
          <w:bCs/>
          <w:color w:val="000000" w:themeColor="text1"/>
          <w:sz w:val="32"/>
          <w:szCs w:val="32"/>
          <w:lang w:val="zh-CN" w:bidi="zh-CN"/>
          <w14:textFill>
            <w14:solidFill>
              <w14:schemeClr w14:val="tx1"/>
            </w14:solidFill>
          </w14:textFill>
        </w:rPr>
        <w:t>（三）</w:t>
      </w:r>
      <w:r>
        <w:rPr>
          <w:rFonts w:hint="eastAsia" w:ascii="楷体" w:hAnsi="楷体" w:eastAsia="楷体" w:cs="楷体"/>
          <w:b/>
          <w:bCs/>
          <w:color w:val="000000" w:themeColor="text1"/>
          <w:kern w:val="0"/>
          <w:sz w:val="31"/>
          <w:szCs w:val="31"/>
          <w:lang w:val="zh-CN" w:bidi="zh-CN"/>
          <w14:textFill>
            <w14:solidFill>
              <w14:schemeClr w14:val="tx1"/>
            </w14:solidFill>
          </w14:textFill>
        </w:rPr>
        <w:t>总结上报阶段（2022年10-11月）。</w:t>
      </w:r>
      <w:r>
        <w:rPr>
          <w:rFonts w:hint="eastAsia" w:ascii="仿宋" w:hAnsi="仿宋" w:eastAsia="仿宋" w:cs="方正仿宋简体"/>
          <w:color w:val="000000" w:themeColor="text1"/>
          <w:kern w:val="0"/>
          <w:sz w:val="31"/>
          <w:szCs w:val="31"/>
          <w:lang w:val="zh-CN" w:bidi="zh-CN"/>
          <w14:textFill>
            <w14:solidFill>
              <w14:schemeClr w14:val="tx1"/>
            </w14:solidFill>
          </w14:textFill>
        </w:rPr>
        <w:t>各市、县（区）卫生健康行政部门和监督机构于2022年10月30日前完成本辖区医疗卫生国家随机监督抽查信息报送工作，工作总结报送按照通知正文要求执行。</w:t>
      </w:r>
    </w:p>
    <w:p>
      <w:pPr>
        <w:pStyle w:val="3"/>
        <w:keepNext w:val="0"/>
        <w:keepLines w:val="0"/>
        <w:pageBreakBefore w:val="0"/>
        <w:kinsoku/>
        <w:wordWrap/>
        <w:overflowPunct/>
        <w:topLinePunct w:val="0"/>
        <w:bidi w:val="0"/>
        <w:adjustRightInd/>
        <w:snapToGrid/>
        <w:spacing w:line="560" w:lineRule="exact"/>
        <w:ind w:left="215" w:right="285" w:firstLine="513"/>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联</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系</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人：自治区卫生健康综合服务中心</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徐翠玲</w:t>
      </w:r>
    </w:p>
    <w:p>
      <w:pPr>
        <w:pStyle w:val="3"/>
        <w:keepNext w:val="0"/>
        <w:keepLines w:val="0"/>
        <w:pageBreakBefore w:val="0"/>
        <w:kinsoku/>
        <w:wordWrap/>
        <w:overflowPunct/>
        <w:topLinePunct w:val="0"/>
        <w:bidi w:val="0"/>
        <w:adjustRightInd/>
        <w:snapToGrid/>
        <w:spacing w:line="560" w:lineRule="exact"/>
        <w:ind w:left="215" w:right="285" w:firstLine="513"/>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联系电话：0951-5092010  邮</w:t>
      </w:r>
      <w:r>
        <w:rPr>
          <w:rFonts w:hint="eastAsia" w:ascii="仿宋" w:hAnsi="仿宋" w:eastAsia="仿宋" w:cs="Times New Roman"/>
          <w:kern w:val="2"/>
          <w:sz w:val="32"/>
          <w:szCs w:val="32"/>
        </w:rPr>
        <w:tab/>
      </w:r>
      <w:r>
        <w:rPr>
          <w:rFonts w:hint="eastAsia" w:ascii="仿宋" w:hAnsi="仿宋" w:eastAsia="仿宋" w:cs="Times New Roman"/>
          <w:kern w:val="2"/>
          <w:sz w:val="32"/>
          <w:szCs w:val="32"/>
        </w:rPr>
        <w:t>箱：</w:t>
      </w:r>
      <w:r>
        <w:rPr>
          <w:rFonts w:hint="eastAsia" w:ascii="仿宋" w:hAnsi="仿宋" w:eastAsia="仿宋" w:cs="Times New Roman"/>
          <w:color w:val="auto"/>
          <w:kern w:val="2"/>
          <w:sz w:val="32"/>
          <w:szCs w:val="32"/>
          <w:u w:val="none"/>
        </w:rPr>
        <w:t>nxwsjd_009@163.com</w:t>
      </w:r>
    </w:p>
    <w:p>
      <w:pPr>
        <w:keepNext w:val="0"/>
        <w:keepLines w:val="0"/>
        <w:pageBreakBefore w:val="0"/>
        <w:kinsoku/>
        <w:wordWrap/>
        <w:overflowPunct/>
        <w:topLinePunct w:val="0"/>
        <w:bidi w:val="0"/>
        <w:adjustRightInd/>
        <w:snapToGrid/>
        <w:spacing w:line="560" w:lineRule="exact"/>
        <w:textAlignment w:val="auto"/>
        <w:rPr>
          <w:rFonts w:ascii="仿宋_GB2312" w:hAnsi="Times New Roman" w:eastAsia="仿宋_GB2312" w:cs="Times New Roman"/>
          <w:sz w:val="32"/>
          <w:szCs w:val="32"/>
        </w:rPr>
      </w:pPr>
      <w:r>
        <w:rPr>
          <w:rFonts w:hint="eastAsia" w:ascii="仿宋_GB2312"/>
          <w:sz w:val="32"/>
          <w:szCs w:val="32"/>
        </w:rPr>
        <w:t xml:space="preserve">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附表： 1.2022年医疗机构国家随机监督抽查工作计划表</w:t>
      </w:r>
    </w:p>
    <w:p>
      <w:pPr>
        <w:keepNext w:val="0"/>
        <w:keepLines w:val="0"/>
        <w:pageBreakBefore w:val="0"/>
        <w:widowControl/>
        <w:kinsoku/>
        <w:wordWrap/>
        <w:overflowPunct/>
        <w:topLinePunct w:val="0"/>
        <w:bidi w:val="0"/>
        <w:adjustRightInd/>
        <w:snapToGrid/>
        <w:spacing w:line="560" w:lineRule="exact"/>
        <w:ind w:firstLine="1920" w:firstLineChars="600"/>
        <w:jc w:val="left"/>
        <w:textAlignment w:val="auto"/>
        <w:rPr>
          <w:rFonts w:ascii="仿宋" w:hAnsi="仿宋" w:eastAsia="仿宋"/>
          <w:sz w:val="32"/>
          <w:szCs w:val="32"/>
        </w:rPr>
      </w:pPr>
      <w:r>
        <w:rPr>
          <w:rFonts w:hint="eastAsia" w:ascii="仿宋" w:hAnsi="仿宋" w:eastAsia="仿宋"/>
          <w:sz w:val="32"/>
          <w:szCs w:val="32"/>
        </w:rPr>
        <w:t>2.2022年医疗机构国家随机监督抽查汇总表</w:t>
      </w:r>
    </w:p>
    <w:p>
      <w:pPr>
        <w:keepNext w:val="0"/>
        <w:keepLines w:val="0"/>
        <w:pageBreakBefore w:val="0"/>
        <w:widowControl/>
        <w:kinsoku/>
        <w:wordWrap/>
        <w:overflowPunct/>
        <w:topLinePunct w:val="0"/>
        <w:bidi w:val="0"/>
        <w:adjustRightInd/>
        <w:snapToGrid/>
        <w:spacing w:line="560" w:lineRule="exact"/>
        <w:ind w:left="2238" w:leftChars="304" w:hanging="1600" w:hangingChars="50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3.</w:t>
      </w:r>
      <w:r>
        <w:rPr>
          <w:rFonts w:hint="eastAsia" w:ascii="仿宋" w:hAnsi="仿宋" w:eastAsia="仿宋"/>
          <w:spacing w:val="-6"/>
          <w:sz w:val="32"/>
          <w:szCs w:val="32"/>
        </w:rPr>
        <w:t>2022年采供血机构国家随机监督抽查工作计划表</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4.2022年采供血机构国家随机监督抽查汇总表</w:t>
      </w:r>
    </w:p>
    <w:p>
      <w:pPr>
        <w:keepNext w:val="0"/>
        <w:keepLines w:val="0"/>
        <w:pageBreakBefore w:val="0"/>
        <w:widowControl/>
        <w:kinsoku/>
        <w:wordWrap/>
        <w:overflowPunct/>
        <w:topLinePunct w:val="0"/>
        <w:bidi w:val="0"/>
        <w:adjustRightInd/>
        <w:snapToGrid/>
        <w:spacing w:line="560" w:lineRule="exact"/>
        <w:ind w:left="2240" w:hanging="2240" w:hangingChars="70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5.2022年母婴保健、计划生育技术服务机构国家随机监督抽查工作计划表</w:t>
      </w:r>
    </w:p>
    <w:p>
      <w:pPr>
        <w:keepNext w:val="0"/>
        <w:keepLines w:val="0"/>
        <w:pageBreakBefore w:val="0"/>
        <w:widowControl/>
        <w:kinsoku/>
        <w:wordWrap/>
        <w:overflowPunct/>
        <w:topLinePunct w:val="0"/>
        <w:bidi w:val="0"/>
        <w:adjustRightInd/>
        <w:snapToGrid/>
        <w:spacing w:line="560" w:lineRule="exact"/>
        <w:ind w:left="2240" w:hanging="2240" w:hangingChars="700"/>
        <w:jc w:val="left"/>
        <w:textAlignment w:val="auto"/>
        <w:rPr>
          <w:rFonts w:ascii="Times New Roman" w:hAnsi="Times New Roman" w:eastAsia="仿宋_GB231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6.2022年母婴保健、计划生育技术服务机构国家随机监督抽查汇总表</w:t>
      </w:r>
    </w:p>
    <w:p>
      <w:pPr>
        <w:keepNext w:val="0"/>
        <w:keepLines w:val="0"/>
        <w:pageBreakBefore w:val="0"/>
        <w:widowControl/>
        <w:kinsoku/>
        <w:wordWrap/>
        <w:overflowPunct/>
        <w:topLinePunct w:val="0"/>
        <w:bidi w:val="0"/>
        <w:adjustRightInd/>
        <w:snapToGrid/>
        <w:spacing w:line="560" w:lineRule="exact"/>
        <w:jc w:val="left"/>
        <w:textAlignment w:val="auto"/>
        <w:rPr>
          <w:rFonts w:ascii="仿宋" w:hAnsi="仿宋" w:eastAsia="仿宋"/>
        </w:rPr>
        <w:sectPr>
          <w:headerReference r:id="rId3" w:type="default"/>
          <w:footerReference r:id="rId4" w:type="default"/>
          <w:pgSz w:w="11905" w:h="16838"/>
          <w:pgMar w:top="1440" w:right="1559" w:bottom="1440" w:left="1559" w:header="283" w:footer="680" w:gutter="0"/>
          <w:pgNumType w:fmt="numberInDash"/>
          <w:cols w:space="720" w:num="1"/>
          <w:docGrid w:type="lines" w:linePitch="439" w:charSpace="0"/>
        </w:sectPr>
      </w:pPr>
    </w:p>
    <w:p>
      <w:pPr>
        <w:widowControl/>
        <w:autoSpaceDE w:val="0"/>
        <w:spacing w:line="600" w:lineRule="exact"/>
        <w:jc w:val="left"/>
        <w:rPr>
          <w:rFonts w:ascii="仿宋_GB2312"/>
          <w:sz w:val="32"/>
          <w:szCs w:val="32"/>
        </w:rPr>
      </w:pPr>
      <w:r>
        <w:rPr>
          <w:rFonts w:hint="eastAsia" w:ascii="黑体" w:hAnsi="黑体" w:eastAsia="黑体"/>
          <w:sz w:val="32"/>
          <w:szCs w:val="32"/>
        </w:rPr>
        <w:t xml:space="preserve">附表1                   </w:t>
      </w:r>
    </w:p>
    <w:p>
      <w:pPr>
        <w:autoSpaceDE w:val="0"/>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2022年医疗机构国家随机监督抽查工作计划表</w:t>
      </w:r>
    </w:p>
    <w:tbl>
      <w:tblPr>
        <w:tblStyle w:val="9"/>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436"/>
        <w:gridCol w:w="1417"/>
        <w:gridCol w:w="808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序号</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监督检查对象</w:t>
            </w:r>
          </w:p>
        </w:tc>
        <w:tc>
          <w:tcPr>
            <w:tcW w:w="1417"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抽查比例</w:t>
            </w:r>
          </w:p>
        </w:tc>
        <w:tc>
          <w:tcPr>
            <w:tcW w:w="8080"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检查内容</w:t>
            </w:r>
          </w:p>
        </w:tc>
        <w:tc>
          <w:tcPr>
            <w:tcW w:w="1644"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1</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医院（含中医院）</w:t>
            </w:r>
          </w:p>
        </w:tc>
        <w:tc>
          <w:tcPr>
            <w:tcW w:w="1417"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6%</w:t>
            </w:r>
          </w:p>
        </w:tc>
        <w:tc>
          <w:tcPr>
            <w:tcW w:w="8080" w:type="dxa"/>
            <w:vMerge w:val="restart"/>
            <w:tcBorders>
              <w:top w:val="nil"/>
              <w:left w:val="nil"/>
              <w:bottom w:val="single" w:color="auto" w:sz="4" w:space="0"/>
              <w:right w:val="single" w:color="auto" w:sz="4" w:space="0"/>
            </w:tcBorders>
            <w:vAlign w:val="center"/>
          </w:tcPr>
          <w:p>
            <w:pPr>
              <w:autoSpaceDE w:val="0"/>
              <w:spacing w:line="600" w:lineRule="exact"/>
              <w:rPr>
                <w:rFonts w:ascii="仿宋" w:hAnsi="仿宋" w:eastAsia="仿宋"/>
                <w:sz w:val="24"/>
                <w:szCs w:val="24"/>
              </w:rPr>
            </w:pPr>
            <w:r>
              <w:rPr>
                <w:rFonts w:hint="eastAsia" w:ascii="仿宋" w:hAnsi="仿宋" w:eastAsia="仿宋"/>
                <w:sz w:val="24"/>
                <w:szCs w:val="24"/>
              </w:rPr>
              <w:t>1.医疗机构资质（取得《医疗机构执业许可证》或备案情况、人员资格、诊疗活动、健康体检、医学检验）管理情况；</w:t>
            </w:r>
          </w:p>
          <w:p>
            <w:pPr>
              <w:autoSpaceDE w:val="0"/>
              <w:spacing w:line="600" w:lineRule="exact"/>
              <w:rPr>
                <w:rFonts w:ascii="仿宋" w:hAnsi="仿宋" w:eastAsia="仿宋"/>
                <w:sz w:val="24"/>
                <w:szCs w:val="24"/>
              </w:rPr>
            </w:pPr>
            <w:r>
              <w:rPr>
                <w:rFonts w:hint="eastAsia" w:ascii="仿宋" w:hAnsi="仿宋" w:eastAsia="仿宋"/>
                <w:sz w:val="24"/>
                <w:szCs w:val="24"/>
              </w:rPr>
              <w:t>2.医疗卫生人员管理情况；</w:t>
            </w:r>
          </w:p>
          <w:p>
            <w:pPr>
              <w:autoSpaceDE w:val="0"/>
              <w:spacing w:line="600" w:lineRule="exact"/>
              <w:rPr>
                <w:rFonts w:ascii="仿宋" w:hAnsi="仿宋" w:eastAsia="仿宋"/>
                <w:sz w:val="24"/>
                <w:szCs w:val="24"/>
              </w:rPr>
            </w:pPr>
            <w:r>
              <w:rPr>
                <w:rFonts w:hint="eastAsia" w:ascii="仿宋" w:hAnsi="仿宋" w:eastAsia="仿宋"/>
                <w:sz w:val="24"/>
                <w:szCs w:val="24"/>
              </w:rPr>
              <w:t>3.药品（麻醉药品、精神药品、抗菌药物）和医疗器械管理情况；</w:t>
            </w:r>
          </w:p>
          <w:p>
            <w:pPr>
              <w:autoSpaceDE w:val="0"/>
              <w:spacing w:line="600" w:lineRule="exact"/>
              <w:rPr>
                <w:rFonts w:ascii="仿宋" w:hAnsi="仿宋" w:eastAsia="仿宋"/>
                <w:sz w:val="24"/>
                <w:szCs w:val="24"/>
              </w:rPr>
            </w:pPr>
            <w:r>
              <w:rPr>
                <w:rFonts w:hint="eastAsia" w:ascii="仿宋" w:hAnsi="仿宋" w:eastAsia="仿宋"/>
                <w:sz w:val="24"/>
                <w:szCs w:val="24"/>
              </w:rPr>
              <w:t>4.医疗技术（医疗美容、临床基因扩增、干细胞临床研究、临床研究项目）管理情况；</w:t>
            </w:r>
          </w:p>
          <w:p>
            <w:pPr>
              <w:autoSpaceDE w:val="0"/>
              <w:spacing w:line="600" w:lineRule="exact"/>
              <w:rPr>
                <w:rFonts w:ascii="仿宋" w:hAnsi="仿宋" w:eastAsia="仿宋"/>
                <w:sz w:val="24"/>
                <w:szCs w:val="24"/>
              </w:rPr>
            </w:pPr>
            <w:r>
              <w:rPr>
                <w:rFonts w:hint="eastAsia" w:ascii="仿宋" w:hAnsi="仿宋" w:eastAsia="仿宋"/>
                <w:color w:val="000000"/>
                <w:sz w:val="24"/>
                <w:szCs w:val="24"/>
              </w:rPr>
              <w:t>5.</w:t>
            </w:r>
            <w:r>
              <w:rPr>
                <w:rFonts w:hint="eastAsia" w:ascii="仿宋" w:hAnsi="仿宋" w:eastAsia="仿宋"/>
                <w:sz w:val="24"/>
                <w:szCs w:val="24"/>
              </w:rPr>
              <w:t>医疗文书（处方、病历、核酸检测报告、医学证明文件）管理情况；</w:t>
            </w:r>
          </w:p>
          <w:p>
            <w:pPr>
              <w:autoSpaceDE w:val="0"/>
              <w:spacing w:line="600" w:lineRule="exact"/>
              <w:rPr>
                <w:rFonts w:ascii="仿宋" w:hAnsi="仿宋" w:eastAsia="仿宋"/>
                <w:sz w:val="24"/>
                <w:szCs w:val="24"/>
              </w:rPr>
            </w:pPr>
            <w:r>
              <w:rPr>
                <w:rFonts w:hint="eastAsia" w:ascii="仿宋" w:hAnsi="仿宋" w:eastAsia="仿宋"/>
                <w:sz w:val="24"/>
                <w:szCs w:val="24"/>
              </w:rPr>
              <w:t>6.临床用血（用血来源、管理组织和制度，血液储存，应急用血采血）管理情况。</w:t>
            </w:r>
          </w:p>
        </w:tc>
        <w:tc>
          <w:tcPr>
            <w:tcW w:w="1644" w:type="dxa"/>
            <w:vMerge w:val="restart"/>
            <w:tcBorders>
              <w:top w:val="nil"/>
              <w:left w:val="nil"/>
              <w:bottom w:val="single" w:color="auto" w:sz="4" w:space="0"/>
              <w:right w:val="single" w:color="auto" w:sz="4" w:space="0"/>
            </w:tcBorders>
            <w:vAlign w:val="center"/>
          </w:tcPr>
          <w:p>
            <w:pPr>
              <w:autoSpaceDE w:val="0"/>
              <w:spacing w:line="600" w:lineRule="exact"/>
              <w:rPr>
                <w:rFonts w:ascii="仿宋" w:hAnsi="仿宋" w:eastAsia="仿宋"/>
                <w:sz w:val="24"/>
                <w:szCs w:val="24"/>
              </w:rPr>
            </w:pPr>
            <w:r>
              <w:rPr>
                <w:rFonts w:hint="eastAsia" w:ascii="仿宋" w:hAnsi="仿宋" w:eastAsia="仿宋"/>
                <w:sz w:val="24"/>
                <w:szCs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2</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社区卫生服务机构</w:t>
            </w:r>
          </w:p>
        </w:tc>
        <w:tc>
          <w:tcPr>
            <w:tcW w:w="1417" w:type="dxa"/>
            <w:vMerge w:val="restart"/>
            <w:tcBorders>
              <w:top w:val="nil"/>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2%</w:t>
            </w:r>
          </w:p>
        </w:tc>
        <w:tc>
          <w:tcPr>
            <w:tcW w:w="808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64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3</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卫生院</w:t>
            </w:r>
          </w:p>
        </w:tc>
        <w:tc>
          <w:tcPr>
            <w:tcW w:w="141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808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64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4</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村卫生室（所）</w:t>
            </w:r>
          </w:p>
        </w:tc>
        <w:tc>
          <w:tcPr>
            <w:tcW w:w="141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808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64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5" w:type="dxa"/>
            <w:vMerge w:val="restart"/>
            <w:tcBorders>
              <w:top w:val="nil"/>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5</w:t>
            </w: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诊  所</w:t>
            </w:r>
          </w:p>
        </w:tc>
        <w:tc>
          <w:tcPr>
            <w:tcW w:w="141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808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64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243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其他医疗机构</w:t>
            </w:r>
          </w:p>
        </w:tc>
        <w:tc>
          <w:tcPr>
            <w:tcW w:w="141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808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64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bl>
    <w:p>
      <w:pPr>
        <w:rPr>
          <w:rFonts w:ascii="仿宋_GB2312" w:hAnsi="Times New Roman" w:eastAsia="仿宋_GB2312" w:cs="Times New Roman"/>
          <w:color w:val="FF0000"/>
          <w:sz w:val="32"/>
          <w:szCs w:val="32"/>
        </w:rPr>
      </w:pPr>
    </w:p>
    <w:p>
      <w:pPr>
        <w:spacing w:line="500" w:lineRule="exact"/>
        <w:rPr>
          <w:b/>
          <w:sz w:val="32"/>
          <w:szCs w:val="32"/>
        </w:rPr>
      </w:pPr>
      <w:r>
        <w:rPr>
          <w:rFonts w:hint="eastAsia" w:ascii="黑体" w:hAnsi="黑体" w:eastAsia="黑体"/>
          <w:sz w:val="32"/>
          <w:szCs w:val="32"/>
        </w:rPr>
        <w:t>附表2</w:t>
      </w:r>
    </w:p>
    <w:p>
      <w:pPr>
        <w:spacing w:line="38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2022年医疗机构国家随机监督抽查汇总表</w:t>
      </w:r>
    </w:p>
    <w:tbl>
      <w:tblPr>
        <w:tblStyle w:val="9"/>
        <w:tblpPr w:leftFromText="180" w:rightFromText="180" w:vertAnchor="text" w:horzAnchor="page" w:tblpX="1034" w:tblpY="165"/>
        <w:tblW w:w="15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300"/>
        <w:gridCol w:w="259"/>
        <w:gridCol w:w="287"/>
        <w:gridCol w:w="518"/>
        <w:gridCol w:w="536"/>
        <w:gridCol w:w="240"/>
        <w:gridCol w:w="375"/>
        <w:gridCol w:w="362"/>
        <w:gridCol w:w="675"/>
        <w:gridCol w:w="325"/>
        <w:gridCol w:w="367"/>
        <w:gridCol w:w="366"/>
        <w:gridCol w:w="316"/>
        <w:gridCol w:w="639"/>
        <w:gridCol w:w="572"/>
        <w:gridCol w:w="564"/>
        <w:gridCol w:w="411"/>
        <w:gridCol w:w="428"/>
        <w:gridCol w:w="354"/>
        <w:gridCol w:w="430"/>
        <w:gridCol w:w="430"/>
        <w:gridCol w:w="431"/>
        <w:gridCol w:w="430"/>
        <w:gridCol w:w="429"/>
        <w:gridCol w:w="431"/>
        <w:gridCol w:w="429"/>
        <w:gridCol w:w="430"/>
        <w:gridCol w:w="430"/>
        <w:gridCol w:w="342"/>
        <w:gridCol w:w="321"/>
        <w:gridCol w:w="438"/>
        <w:gridCol w:w="450"/>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ind w:left="303" w:hanging="303" w:hangingChars="202"/>
              <w:jc w:val="center"/>
              <w:rPr>
                <w:rFonts w:ascii="仿宋" w:hAnsi="仿宋" w:eastAsia="仿宋" w:cs="仿宋"/>
                <w:sz w:val="15"/>
                <w:szCs w:val="15"/>
              </w:rPr>
            </w:pPr>
            <w:r>
              <w:rPr>
                <w:rFonts w:hint="eastAsia" w:ascii="仿宋" w:hAnsi="仿宋" w:eastAsia="仿宋" w:cs="仿宋"/>
                <w:sz w:val="15"/>
                <w:szCs w:val="15"/>
              </w:rPr>
              <w:t>单位</w:t>
            </w:r>
          </w:p>
          <w:p>
            <w:pPr>
              <w:spacing w:beforeAutospacing="1" w:afterAutospacing="1" w:line="240" w:lineRule="exact"/>
              <w:ind w:left="303" w:hanging="303" w:hangingChars="202"/>
              <w:jc w:val="center"/>
              <w:rPr>
                <w:rFonts w:ascii="仿宋" w:hAnsi="仿宋" w:eastAsia="仿宋" w:cs="仿宋"/>
                <w:sz w:val="15"/>
                <w:szCs w:val="15"/>
              </w:rPr>
            </w:pPr>
            <w:r>
              <w:rPr>
                <w:rFonts w:hint="eastAsia" w:ascii="仿宋" w:hAnsi="仿宋" w:eastAsia="仿宋" w:cs="仿宋"/>
                <w:sz w:val="15"/>
                <w:szCs w:val="15"/>
              </w:rPr>
              <w:t>类别</w:t>
            </w:r>
          </w:p>
        </w:tc>
        <w:tc>
          <w:tcPr>
            <w:tcW w:w="3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辖区内单位总数</w:t>
            </w:r>
          </w:p>
        </w:tc>
        <w:tc>
          <w:tcPr>
            <w:tcW w:w="2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检查单位数</w:t>
            </w:r>
          </w:p>
        </w:tc>
        <w:tc>
          <w:tcPr>
            <w:tcW w:w="11547" w:type="dxa"/>
            <w:gridSpan w:val="27"/>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不合格情况</w:t>
            </w:r>
          </w:p>
        </w:tc>
        <w:tc>
          <w:tcPr>
            <w:tcW w:w="15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15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医疗机构资质管理</w:t>
            </w:r>
          </w:p>
        </w:tc>
        <w:tc>
          <w:tcPr>
            <w:tcW w:w="2786"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医疗卫生人员管理</w:t>
            </w:r>
          </w:p>
        </w:tc>
        <w:tc>
          <w:tcPr>
            <w:tcW w:w="17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药品和医疗器械管理</w:t>
            </w:r>
          </w:p>
        </w:tc>
        <w:tc>
          <w:tcPr>
            <w:tcW w:w="24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医疗技术管理</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医疗文书管理</w:t>
            </w:r>
          </w:p>
        </w:tc>
        <w:tc>
          <w:tcPr>
            <w:tcW w:w="16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center"/>
              <w:rPr>
                <w:rFonts w:ascii="仿宋" w:hAnsi="仿宋" w:eastAsia="仿宋" w:cs="仿宋"/>
                <w:sz w:val="15"/>
                <w:szCs w:val="15"/>
              </w:rPr>
            </w:pPr>
            <w:r>
              <w:rPr>
                <w:rFonts w:hint="eastAsia" w:ascii="仿宋" w:hAnsi="仿宋" w:eastAsia="仿宋" w:cs="仿宋"/>
                <w:sz w:val="15"/>
                <w:szCs w:val="15"/>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查处案件数</w:t>
            </w:r>
          </w:p>
        </w:tc>
        <w:tc>
          <w:tcPr>
            <w:tcW w:w="4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罚没款金额（万元）</w:t>
            </w:r>
          </w:p>
        </w:tc>
        <w:tc>
          <w:tcPr>
            <w:tcW w:w="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吊销《医疗机构执业许可证》单位数</w:t>
            </w:r>
          </w:p>
        </w:tc>
        <w:tc>
          <w:tcPr>
            <w:tcW w:w="3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14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执业许可证管理不符合要求单位数</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人员资格管理（未使用非卫生技术人员）不符合要求单位数</w:t>
            </w: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医疗机构诊疗活动管理不符合要求单位数</w:t>
            </w: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健康体检管理不符合要求单位数</w:t>
            </w: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医师管理不符合要求单位数</w:t>
            </w: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外国医师管理不符合要求单位数</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ascii="仿宋" w:hAnsi="仿宋" w:eastAsia="仿宋" w:cs="仿宋"/>
                <w:sz w:val="15"/>
                <w:szCs w:val="15"/>
              </w:rPr>
            </w:pPr>
            <w:r>
              <w:rPr>
                <w:rFonts w:hint="eastAsia" w:ascii="仿宋" w:hAnsi="仿宋" w:eastAsia="仿宋" w:cs="仿宋"/>
                <w:sz w:val="15"/>
                <w:szCs w:val="15"/>
              </w:rPr>
              <w:t>香港、澳门特别行政区医师管理不符合要求单位数</w:t>
            </w: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台湾医师管理不符合要求单位数</w:t>
            </w: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医技人员管理不符合要求单位数</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麻醉药品和精神药品管理不符合要求单位数</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抗菌药物管理不符合要求单位数</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医疗器械管理不符合要求单位数</w:t>
            </w: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医疗美容管理不符合要求单位数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临床基因扩增管理不符合要求单位数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临床研究管理不符合要求单位数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病历管理不符合要求单位数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医学证明文件管理不符合要求单位数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血液储存管理不符合要求单位数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r>
              <w:rPr>
                <w:rFonts w:hint="eastAsia" w:ascii="仿宋" w:hAnsi="仿宋" w:eastAsia="仿宋" w:cs="仿宋"/>
                <w:sz w:val="15"/>
                <w:szCs w:val="15"/>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医院（含中医院）</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jc w:val="lef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社区卫生服务机构</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卫生院</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村卫生室（所）</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诊所</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其他医疗机构</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r>
              <w:rPr>
                <w:rFonts w:hint="eastAsia" w:ascii="仿宋" w:hAnsi="仿宋" w:eastAsia="仿宋" w:cs="仿宋"/>
                <w:sz w:val="15"/>
                <w:szCs w:val="15"/>
              </w:rPr>
              <w:t>合计</w:t>
            </w: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5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8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24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5"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4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38"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240" w:lineRule="exact"/>
              <w:rPr>
                <w:rFonts w:ascii="仿宋" w:hAnsi="仿宋" w:eastAsia="仿宋" w:cs="仿宋"/>
                <w:sz w:val="15"/>
                <w:szCs w:val="15"/>
              </w:rPr>
            </w:pPr>
          </w:p>
        </w:tc>
      </w:tr>
    </w:tbl>
    <w:p>
      <w:pPr>
        <w:spacing w:line="600" w:lineRule="exact"/>
        <w:rPr>
          <w:rFonts w:ascii="黑体" w:hAnsi="黑体" w:eastAsia="黑体"/>
        </w:rPr>
      </w:pPr>
      <w:r>
        <w:rPr>
          <w:rFonts w:hint="eastAsia" w:ascii="黑体" w:hAnsi="黑体" w:eastAsia="黑体"/>
          <w:sz w:val="32"/>
          <w:szCs w:val="32"/>
        </w:rPr>
        <w:t xml:space="preserve">附表3 </w:t>
      </w:r>
      <w:r>
        <w:rPr>
          <w:rFonts w:hint="eastAsia" w:ascii="黑体" w:hAnsi="黑体" w:eastAsia="黑体"/>
        </w:rPr>
        <w:t xml:space="preserve">             </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2022年采供血机构国家随机监督抽查工作计划表</w:t>
      </w:r>
    </w:p>
    <w:tbl>
      <w:tblPr>
        <w:tblStyle w:val="9"/>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抽查比例</w:t>
            </w:r>
          </w:p>
        </w:tc>
        <w:tc>
          <w:tcPr>
            <w:tcW w:w="735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957" w:type="dxa"/>
            <w:tcBorders>
              <w:top w:val="single" w:color="auto" w:sz="4" w:space="0"/>
              <w:left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1</w:t>
            </w:r>
          </w:p>
        </w:tc>
        <w:tc>
          <w:tcPr>
            <w:tcW w:w="2686" w:type="dxa"/>
            <w:tcBorders>
              <w:top w:val="single" w:color="auto" w:sz="4" w:space="0"/>
              <w:left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一般血站</w:t>
            </w:r>
          </w:p>
        </w:tc>
        <w:tc>
          <w:tcPr>
            <w:tcW w:w="1556" w:type="dxa"/>
            <w:tcBorders>
              <w:top w:val="single" w:color="auto" w:sz="4" w:space="0"/>
              <w:left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100%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仿宋" w:hAnsi="仿宋" w:eastAsia="仿宋" w:cs="仿宋"/>
                <w:sz w:val="24"/>
                <w:szCs w:val="24"/>
              </w:rPr>
            </w:pPr>
            <w:r>
              <w:rPr>
                <w:rFonts w:hint="eastAsia" w:ascii="仿宋" w:hAnsi="仿宋" w:eastAsia="仿宋" w:cs="仿宋"/>
                <w:sz w:val="24"/>
                <w:szCs w:val="24"/>
              </w:rPr>
              <w:t>1.资质管理：按照许可范围开展工作；从业人员取得相关岗位执业资格或者执业注册而从事血液安全工作；使用符合国家规定的耗材；</w:t>
            </w:r>
          </w:p>
          <w:p>
            <w:pPr>
              <w:rPr>
                <w:rFonts w:ascii="仿宋" w:hAnsi="仿宋" w:eastAsia="仿宋" w:cs="仿宋"/>
                <w:sz w:val="24"/>
                <w:szCs w:val="24"/>
              </w:rPr>
            </w:pPr>
            <w:r>
              <w:rPr>
                <w:rFonts w:hint="eastAsia" w:ascii="仿宋" w:hAnsi="仿宋" w:eastAsia="仿宋" w:cs="仿宋"/>
                <w:sz w:val="24"/>
                <w:szCs w:val="24"/>
              </w:rPr>
              <w:t>2.血源管理：按规定对献血者、供血浆者进行身份核实、健康征询和体检；按要求检测新浆员和间隔180 天的浆员的血浆；未超量、频繁采集血液（浆）；未采集冒名顶替者、健康检查不合格者血液(血浆)；</w:t>
            </w:r>
          </w:p>
          <w:p>
            <w:pPr>
              <w:rPr>
                <w:rFonts w:ascii="仿宋" w:hAnsi="仿宋" w:eastAsia="仿宋" w:cs="仿宋"/>
                <w:sz w:val="24"/>
                <w:szCs w:val="24"/>
              </w:rPr>
            </w:pPr>
            <w:r>
              <w:rPr>
                <w:rFonts w:hint="eastAsia" w:ascii="仿宋" w:hAnsi="仿宋" w:eastAsia="仿宋" w:cs="仿宋"/>
                <w:sz w:val="24"/>
                <w:szCs w:val="24"/>
              </w:rPr>
              <w:t>3.血液检测：血液（浆）检测项目齐全；按规定保存血液标本；按规定保存工作记录；对检测不合格或者报废的血液（浆），按有关规定处理；</w:t>
            </w:r>
          </w:p>
          <w:p>
            <w:pPr>
              <w:rPr>
                <w:rFonts w:ascii="仿宋" w:hAnsi="仿宋" w:eastAsia="仿宋" w:cs="仿宋"/>
                <w:sz w:val="24"/>
                <w:szCs w:val="24"/>
              </w:rPr>
            </w:pPr>
            <w:r>
              <w:rPr>
                <w:rFonts w:hint="eastAsia" w:ascii="仿宋" w:hAnsi="仿宋" w:eastAsia="仿宋" w:cs="仿宋"/>
                <w:sz w:val="24"/>
                <w:szCs w:val="24"/>
              </w:rPr>
              <w:t>4.包装储存运输：包装、储存、运输符合国家规定的卫生标准和要求；</w:t>
            </w:r>
          </w:p>
          <w:p>
            <w:pPr>
              <w:rPr>
                <w:rFonts w:ascii="仿宋" w:hAnsi="仿宋" w:eastAsia="仿宋" w:cs="仿宋"/>
                <w:sz w:val="24"/>
                <w:szCs w:val="24"/>
              </w:rPr>
            </w:pPr>
            <w:r>
              <w:rPr>
                <w:rFonts w:hint="eastAsia" w:ascii="仿宋" w:hAnsi="仿宋" w:eastAsia="仿宋" w:cs="仿宋"/>
                <w:sz w:val="24"/>
                <w:szCs w:val="24"/>
              </w:rPr>
              <w:t>5.其它：未非法采集、供应、倒卖血液、血浆。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p>
          <w:p>
            <w:pPr>
              <w:spacing w:line="600" w:lineRule="exact"/>
              <w:jc w:val="center"/>
              <w:rPr>
                <w:rFonts w:ascii="仿宋" w:hAnsi="仿宋" w:eastAsia="仿宋" w:cs="仿宋"/>
                <w:sz w:val="24"/>
                <w:szCs w:val="24"/>
              </w:rPr>
            </w:pPr>
          </w:p>
          <w:p>
            <w:pPr>
              <w:spacing w:line="600" w:lineRule="exact"/>
              <w:jc w:val="center"/>
              <w:rPr>
                <w:rFonts w:ascii="仿宋" w:hAnsi="仿宋" w:eastAsia="仿宋" w:cs="仿宋"/>
                <w:sz w:val="24"/>
                <w:szCs w:val="24"/>
              </w:rPr>
            </w:pPr>
            <w:r>
              <w:rPr>
                <w:rFonts w:hint="eastAsia" w:ascii="仿宋" w:hAnsi="仿宋" w:eastAsia="仿宋" w:cs="仿宋"/>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2</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left"/>
              <w:rPr>
                <w:rFonts w:ascii="仿宋" w:hAnsi="仿宋" w:eastAsia="仿宋" w:cs="仿宋"/>
                <w:sz w:val="24"/>
                <w:szCs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rPr>
                <w:rFonts w:ascii="仿宋" w:hAnsi="仿宋" w:eastAsia="仿宋" w:cs="仿宋"/>
                <w:sz w:val="24"/>
                <w:szCs w:val="24"/>
              </w:rPr>
            </w:pPr>
          </w:p>
        </w:tc>
      </w:tr>
    </w:tbl>
    <w:p>
      <w:pPr>
        <w:widowControl/>
        <w:spacing w:line="360" w:lineRule="auto"/>
        <w:jc w:val="left"/>
        <w:rPr>
          <w:rFonts w:ascii="黑体" w:hAnsi="黑体" w:eastAsia="黑体"/>
        </w:rPr>
      </w:pPr>
    </w:p>
    <w:p>
      <w:pPr>
        <w:autoSpaceDE w:val="0"/>
        <w:spacing w:line="600" w:lineRule="exact"/>
        <w:rPr>
          <w:rFonts w:ascii="黑体" w:hAnsi="黑体" w:eastAsia="黑体"/>
        </w:rPr>
      </w:pPr>
    </w:p>
    <w:p>
      <w:pPr>
        <w:autoSpaceDE w:val="0"/>
        <w:spacing w:line="600" w:lineRule="exact"/>
        <w:rPr>
          <w:rFonts w:hint="eastAsia" w:ascii="黑体" w:hAnsi="黑体" w:eastAsia="黑体"/>
          <w:sz w:val="32"/>
          <w:szCs w:val="32"/>
        </w:rPr>
      </w:pPr>
    </w:p>
    <w:p>
      <w:pPr>
        <w:autoSpaceDE w:val="0"/>
        <w:spacing w:line="600" w:lineRule="exact"/>
        <w:rPr>
          <w:rFonts w:ascii="黑体" w:hAnsi="黑体" w:eastAsia="黑体" w:cs="Times New Roman"/>
          <w:sz w:val="32"/>
          <w:szCs w:val="32"/>
        </w:rPr>
      </w:pPr>
      <w:r>
        <w:rPr>
          <w:rFonts w:hint="eastAsia" w:ascii="黑体" w:hAnsi="黑体" w:eastAsia="黑体"/>
          <w:sz w:val="32"/>
          <w:szCs w:val="32"/>
        </w:rPr>
        <w:t xml:space="preserve">附表3              </w:t>
      </w:r>
    </w:p>
    <w:p>
      <w:pPr>
        <w:autoSpaceDE w:val="0"/>
        <w:spacing w:line="600" w:lineRule="exact"/>
        <w:jc w:val="center"/>
        <w:rPr>
          <w:rFonts w:ascii="方正小标宋简体" w:hAnsi="Times New Roman" w:eastAsia="方正小标宋简体"/>
          <w:bCs/>
          <w:sz w:val="36"/>
          <w:szCs w:val="36"/>
        </w:rPr>
      </w:pPr>
      <w:r>
        <w:rPr>
          <w:rFonts w:hint="eastAsia" w:ascii="方正小标宋简体" w:eastAsia="方正小标宋简体"/>
          <w:bCs/>
          <w:sz w:val="36"/>
          <w:szCs w:val="36"/>
        </w:rPr>
        <w:t>2022年采供血机构国家随机监督抽查工作计划表</w:t>
      </w:r>
    </w:p>
    <w:tbl>
      <w:tblPr>
        <w:tblStyle w:val="9"/>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序号</w:t>
            </w:r>
          </w:p>
        </w:tc>
        <w:tc>
          <w:tcPr>
            <w:tcW w:w="268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监督检查对象</w:t>
            </w:r>
          </w:p>
        </w:tc>
        <w:tc>
          <w:tcPr>
            <w:tcW w:w="155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抽查比例</w:t>
            </w:r>
          </w:p>
        </w:tc>
        <w:tc>
          <w:tcPr>
            <w:tcW w:w="7353"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检查内容</w:t>
            </w:r>
          </w:p>
        </w:tc>
        <w:tc>
          <w:tcPr>
            <w:tcW w:w="1588"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1</w:t>
            </w:r>
          </w:p>
        </w:tc>
        <w:tc>
          <w:tcPr>
            <w:tcW w:w="268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一般血站</w:t>
            </w:r>
          </w:p>
        </w:tc>
        <w:tc>
          <w:tcPr>
            <w:tcW w:w="155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100%</w:t>
            </w:r>
          </w:p>
        </w:tc>
        <w:tc>
          <w:tcPr>
            <w:tcW w:w="7353" w:type="dxa"/>
            <w:vMerge w:val="restart"/>
            <w:tcBorders>
              <w:top w:val="nil"/>
              <w:left w:val="nil"/>
              <w:bottom w:val="single" w:color="auto" w:sz="4" w:space="0"/>
              <w:right w:val="single" w:color="auto" w:sz="4" w:space="0"/>
            </w:tcBorders>
          </w:tcPr>
          <w:p>
            <w:pPr>
              <w:autoSpaceDE w:val="0"/>
              <w:rPr>
                <w:rFonts w:ascii="仿宋" w:hAnsi="仿宋" w:eastAsia="仿宋"/>
                <w:sz w:val="24"/>
                <w:szCs w:val="24"/>
              </w:rPr>
            </w:pPr>
            <w:r>
              <w:rPr>
                <w:rFonts w:hint="eastAsia" w:ascii="仿宋" w:hAnsi="仿宋" w:eastAsia="仿宋"/>
                <w:sz w:val="24"/>
                <w:szCs w:val="24"/>
              </w:rPr>
              <w:t>1.资质管理：按照许可范围开展工作；从业人员取得相关岗位执业资格或者执业注册而从事血液安全工作；使用符合国家规定的耗材；</w:t>
            </w:r>
          </w:p>
          <w:p>
            <w:pPr>
              <w:autoSpaceDE w:val="0"/>
              <w:rPr>
                <w:rFonts w:ascii="仿宋" w:hAnsi="仿宋" w:eastAsia="仿宋"/>
                <w:sz w:val="24"/>
                <w:szCs w:val="24"/>
              </w:rPr>
            </w:pPr>
            <w:r>
              <w:rPr>
                <w:rFonts w:hint="eastAsia" w:ascii="仿宋" w:hAnsi="仿宋" w:eastAsia="仿宋"/>
                <w:sz w:val="24"/>
                <w:szCs w:val="24"/>
              </w:rPr>
              <w:t>2.血源管理：按规定对献血者、供血浆者进行身份核实、健康征询和体检；按要求检测新浆员和间隔180 天的浆员的血浆；未超量、频繁采集血液（浆）；未采集冒名顶替者、健康检查不合格者血液(血浆)；</w:t>
            </w:r>
          </w:p>
          <w:p>
            <w:pPr>
              <w:autoSpaceDE w:val="0"/>
              <w:rPr>
                <w:rFonts w:ascii="仿宋" w:hAnsi="仿宋" w:eastAsia="仿宋"/>
                <w:sz w:val="24"/>
                <w:szCs w:val="24"/>
              </w:rPr>
            </w:pPr>
            <w:r>
              <w:rPr>
                <w:rFonts w:hint="eastAsia" w:ascii="仿宋" w:hAnsi="仿宋" w:eastAsia="仿宋"/>
                <w:sz w:val="24"/>
                <w:szCs w:val="24"/>
              </w:rPr>
              <w:t>3.血液检测：血液（浆）检测项目齐全；按规定保存血液标本；按规定保存工作记录；对检测不合格或者报废的血液（浆），按有关规定处理；</w:t>
            </w:r>
          </w:p>
          <w:p>
            <w:pPr>
              <w:autoSpaceDE w:val="0"/>
              <w:rPr>
                <w:rFonts w:ascii="仿宋" w:hAnsi="仿宋" w:eastAsia="仿宋"/>
                <w:sz w:val="24"/>
                <w:szCs w:val="24"/>
              </w:rPr>
            </w:pPr>
            <w:r>
              <w:rPr>
                <w:rFonts w:hint="eastAsia" w:ascii="仿宋" w:hAnsi="仿宋" w:eastAsia="仿宋"/>
                <w:sz w:val="24"/>
                <w:szCs w:val="24"/>
              </w:rPr>
              <w:t>4.包装储存运输：包装、储存、运输符合国家规定的卫生标准和要求；</w:t>
            </w:r>
          </w:p>
          <w:p>
            <w:pPr>
              <w:autoSpaceDE w:val="0"/>
              <w:rPr>
                <w:rFonts w:ascii="仿宋" w:hAnsi="仿宋" w:eastAsia="仿宋"/>
                <w:sz w:val="24"/>
                <w:szCs w:val="24"/>
              </w:rPr>
            </w:pPr>
            <w:r>
              <w:rPr>
                <w:rFonts w:hint="eastAsia" w:ascii="仿宋" w:hAnsi="仿宋" w:eastAsia="仿宋"/>
                <w:sz w:val="24"/>
                <w:szCs w:val="24"/>
              </w:rPr>
              <w:t>5.其它：未非法采集、供应、倒卖血液、血浆。</w:t>
            </w:r>
          </w:p>
        </w:tc>
        <w:tc>
          <w:tcPr>
            <w:tcW w:w="1588" w:type="dxa"/>
            <w:vMerge w:val="restart"/>
            <w:tcBorders>
              <w:top w:val="nil"/>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p>
          <w:p>
            <w:pPr>
              <w:autoSpaceDE w:val="0"/>
              <w:spacing w:line="600" w:lineRule="exact"/>
              <w:jc w:val="center"/>
              <w:rPr>
                <w:rFonts w:ascii="仿宋" w:hAnsi="仿宋" w:eastAsia="仿宋"/>
                <w:sz w:val="24"/>
                <w:szCs w:val="24"/>
              </w:rPr>
            </w:pPr>
          </w:p>
          <w:p>
            <w:pPr>
              <w:autoSpaceDE w:val="0"/>
              <w:jc w:val="center"/>
              <w:rPr>
                <w:rFonts w:ascii="仿宋" w:hAnsi="仿宋" w:eastAsia="仿宋"/>
                <w:sz w:val="24"/>
                <w:szCs w:val="24"/>
              </w:rPr>
            </w:pPr>
            <w:r>
              <w:rPr>
                <w:rFonts w:hint="eastAsia" w:ascii="仿宋" w:hAnsi="仿宋" w:eastAsia="仿宋"/>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2</w:t>
            </w:r>
          </w:p>
        </w:tc>
        <w:tc>
          <w:tcPr>
            <w:tcW w:w="268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单采血浆站</w:t>
            </w:r>
          </w:p>
        </w:tc>
        <w:tc>
          <w:tcPr>
            <w:tcW w:w="1556" w:type="dxa"/>
            <w:tcBorders>
              <w:top w:val="single" w:color="auto" w:sz="4" w:space="0"/>
              <w:left w:val="nil"/>
              <w:bottom w:val="single" w:color="auto" w:sz="4" w:space="0"/>
              <w:right w:val="single" w:color="auto" w:sz="4" w:space="0"/>
            </w:tcBorders>
            <w:vAlign w:val="center"/>
          </w:tcPr>
          <w:p>
            <w:pPr>
              <w:autoSpaceDE w:val="0"/>
              <w:spacing w:line="600" w:lineRule="exact"/>
              <w:jc w:val="center"/>
              <w:rPr>
                <w:rFonts w:ascii="仿宋" w:hAnsi="仿宋" w:eastAsia="仿宋"/>
                <w:sz w:val="24"/>
                <w:szCs w:val="24"/>
              </w:rPr>
            </w:pPr>
            <w:r>
              <w:rPr>
                <w:rFonts w:hint="eastAsia" w:ascii="仿宋" w:hAnsi="仿宋" w:eastAsia="仿宋"/>
                <w:sz w:val="24"/>
                <w:szCs w:val="24"/>
              </w:rPr>
              <w:t>100%</w:t>
            </w:r>
          </w:p>
        </w:tc>
        <w:tc>
          <w:tcPr>
            <w:tcW w:w="7353"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c>
          <w:tcPr>
            <w:tcW w:w="158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4"/>
                <w:szCs w:val="24"/>
              </w:rPr>
            </w:pPr>
          </w:p>
        </w:tc>
      </w:tr>
    </w:tbl>
    <w:p>
      <w:pPr>
        <w:widowControl/>
        <w:spacing w:line="360" w:lineRule="auto"/>
        <w:jc w:val="left"/>
        <w:rPr>
          <w:rFonts w:ascii="黑体" w:hAnsi="黑体" w:eastAsia="黑体" w:cs="Times New Roman"/>
          <w:sz w:val="32"/>
          <w:szCs w:val="32"/>
        </w:rPr>
      </w:pPr>
      <w:r>
        <w:rPr>
          <w:rFonts w:hint="eastAsia" w:ascii="黑体" w:hAnsi="黑体" w:eastAsia="黑体"/>
        </w:rPr>
        <w:t xml:space="preserve"> </w:t>
      </w:r>
    </w:p>
    <w:p>
      <w:pPr>
        <w:widowControl/>
        <w:spacing w:line="360" w:lineRule="auto"/>
        <w:jc w:val="left"/>
        <w:rPr>
          <w:rFonts w:ascii="黑体" w:hAnsi="黑体" w:eastAsia="黑体"/>
        </w:rPr>
      </w:pPr>
      <w:r>
        <w:rPr>
          <w:rFonts w:hint="eastAsia" w:ascii="黑体" w:hAnsi="黑体" w:eastAsia="黑体"/>
        </w:rPr>
        <w:t xml:space="preserve"> </w:t>
      </w:r>
    </w:p>
    <w:p>
      <w:pPr>
        <w:widowControl/>
        <w:autoSpaceDE w:val="0"/>
        <w:spacing w:line="600" w:lineRule="exact"/>
        <w:jc w:val="left"/>
        <w:rPr>
          <w:rFonts w:ascii="Times New Roman" w:hAnsi="Times New Roman" w:eastAsia="仿宋_GB2312"/>
          <w:sz w:val="32"/>
          <w:szCs w:val="32"/>
        </w:rPr>
      </w:pPr>
      <w:r>
        <w:rPr>
          <w:rFonts w:hint="eastAsia" w:ascii="黑体" w:hAnsi="黑体" w:eastAsia="黑体"/>
          <w:sz w:val="32"/>
          <w:szCs w:val="32"/>
        </w:rPr>
        <w:t>附表4</w:t>
      </w:r>
    </w:p>
    <w:p>
      <w:pPr>
        <w:autoSpaceDE w:val="0"/>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2022年采供血机构国家随机监督抽查汇总表</w:t>
      </w:r>
    </w:p>
    <w:tbl>
      <w:tblPr>
        <w:tblStyle w:val="9"/>
        <w:tblW w:w="1448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12"/>
        <w:gridCol w:w="645"/>
        <w:gridCol w:w="534"/>
        <w:gridCol w:w="919"/>
        <w:gridCol w:w="616"/>
        <w:gridCol w:w="880"/>
        <w:gridCol w:w="728"/>
        <w:gridCol w:w="1211"/>
        <w:gridCol w:w="883"/>
        <w:gridCol w:w="1089"/>
        <w:gridCol w:w="676"/>
        <w:gridCol w:w="676"/>
        <w:gridCol w:w="1233"/>
        <w:gridCol w:w="854"/>
        <w:gridCol w:w="837"/>
        <w:gridCol w:w="55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18"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单位类别</w:t>
            </w:r>
          </w:p>
        </w:tc>
        <w:tc>
          <w:tcPr>
            <w:tcW w:w="512" w:type="dxa"/>
            <w:vMerge w:val="restart"/>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辖区内单位总数</w:t>
            </w:r>
          </w:p>
        </w:tc>
        <w:tc>
          <w:tcPr>
            <w:tcW w:w="645" w:type="dxa"/>
            <w:vMerge w:val="restart"/>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检查单位数</w:t>
            </w:r>
          </w:p>
        </w:tc>
        <w:tc>
          <w:tcPr>
            <w:tcW w:w="11136" w:type="dxa"/>
            <w:gridSpan w:val="13"/>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不合格情况</w:t>
            </w:r>
          </w:p>
        </w:tc>
        <w:tc>
          <w:tcPr>
            <w:tcW w:w="1275" w:type="dxa"/>
            <w:gridSpan w:val="2"/>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512"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645"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2069" w:type="dxa"/>
            <w:gridSpan w:val="3"/>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资质管理</w:t>
            </w:r>
          </w:p>
        </w:tc>
        <w:tc>
          <w:tcPr>
            <w:tcW w:w="3702" w:type="dxa"/>
            <w:gridSpan w:val="4"/>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血源管理</w:t>
            </w:r>
          </w:p>
        </w:tc>
        <w:tc>
          <w:tcPr>
            <w:tcW w:w="3674" w:type="dxa"/>
            <w:gridSpan w:val="4"/>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血液检测</w:t>
            </w:r>
          </w:p>
        </w:tc>
        <w:tc>
          <w:tcPr>
            <w:tcW w:w="854" w:type="dxa"/>
            <w:tcBorders>
              <w:top w:val="single" w:color="auto" w:sz="4" w:space="0"/>
              <w:left w:val="nil"/>
              <w:bottom w:val="single" w:color="auto" w:sz="4" w:space="0"/>
              <w:right w:val="single" w:color="auto" w:sz="4" w:space="0"/>
            </w:tcBorders>
            <w:vAlign w:val="center"/>
          </w:tcPr>
          <w:p>
            <w:pPr>
              <w:spacing w:line="200" w:lineRule="exact"/>
              <w:rPr>
                <w:rFonts w:ascii="仿宋" w:hAnsi="仿宋" w:eastAsia="仿宋"/>
                <w:szCs w:val="21"/>
              </w:rPr>
            </w:pPr>
            <w:r>
              <w:rPr>
                <w:rFonts w:hint="eastAsia" w:ascii="仿宋" w:hAnsi="仿宋" w:eastAsia="仿宋"/>
                <w:szCs w:val="21"/>
              </w:rPr>
              <w:t>包装储存运输</w:t>
            </w:r>
          </w:p>
        </w:tc>
        <w:tc>
          <w:tcPr>
            <w:tcW w:w="837"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其他</w:t>
            </w:r>
          </w:p>
        </w:tc>
        <w:tc>
          <w:tcPr>
            <w:tcW w:w="554" w:type="dxa"/>
            <w:vMerge w:val="restart"/>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案件查处数</w:t>
            </w:r>
          </w:p>
        </w:tc>
        <w:tc>
          <w:tcPr>
            <w:tcW w:w="721" w:type="dxa"/>
            <w:vMerge w:val="restart"/>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512"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645"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53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未按照许可范围开展工作单位数</w:t>
            </w:r>
          </w:p>
        </w:tc>
        <w:tc>
          <w:tcPr>
            <w:tcW w:w="91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从业人员未取得相关岗位执业资格或者执业注册而从事血液安全工作单位数</w:t>
            </w:r>
          </w:p>
        </w:tc>
        <w:tc>
          <w:tcPr>
            <w:tcW w:w="61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使用不符合国家规定的耗材单位数</w:t>
            </w:r>
          </w:p>
        </w:tc>
        <w:tc>
          <w:tcPr>
            <w:tcW w:w="880"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未按规定对献血者、供血浆者进行身份核实、健康征询和体检单位数</w:t>
            </w:r>
          </w:p>
        </w:tc>
        <w:tc>
          <w:tcPr>
            <w:tcW w:w="728"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未按要求检测新浆员和间隔180天的浆员的血浆单位数</w:t>
            </w:r>
          </w:p>
        </w:tc>
        <w:tc>
          <w:tcPr>
            <w:tcW w:w="121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超量、频繁采集血液（浆）的单位数</w:t>
            </w:r>
          </w:p>
        </w:tc>
        <w:tc>
          <w:tcPr>
            <w:tcW w:w="88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采集冒名顶替者、健康检查不合格者血液(血浆)单位数</w:t>
            </w:r>
          </w:p>
        </w:tc>
        <w:tc>
          <w:tcPr>
            <w:tcW w:w="108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血液（浆）检测项目不齐全单位数</w:t>
            </w: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未按规定保存血液标本的单位数</w:t>
            </w: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未按规定保存工作记录的单位数</w:t>
            </w:r>
          </w:p>
        </w:tc>
        <w:tc>
          <w:tcPr>
            <w:tcW w:w="123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对检测不合格或者报废的血液（浆），未按有关规定处理单位数</w:t>
            </w:r>
          </w:p>
        </w:tc>
        <w:tc>
          <w:tcPr>
            <w:tcW w:w="8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包装、储存、运输不符合国家规定的卫生标准和要求单位数</w:t>
            </w:r>
          </w:p>
        </w:tc>
        <w:tc>
          <w:tcPr>
            <w:tcW w:w="837"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非法采集、供应、倒卖血液、血浆单位数</w:t>
            </w:r>
          </w:p>
        </w:tc>
        <w:tc>
          <w:tcPr>
            <w:tcW w:w="554"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c>
          <w:tcPr>
            <w:tcW w:w="721" w:type="dxa"/>
            <w:vMerge w:val="continue"/>
            <w:tcBorders>
              <w:top w:val="single" w:color="auto" w:sz="4" w:space="0"/>
              <w:left w:val="nil"/>
              <w:bottom w:val="single" w:color="auto" w:sz="4" w:space="0"/>
              <w:right w:val="single" w:color="auto" w:sz="4" w:space="0"/>
            </w:tcBorders>
            <w:vAlign w:val="center"/>
          </w:tcPr>
          <w:p>
            <w:pPr>
              <w:widowControl/>
              <w:spacing w:line="20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一般血站</w:t>
            </w:r>
          </w:p>
        </w:tc>
        <w:tc>
          <w:tcPr>
            <w:tcW w:w="512"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45"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3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91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1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0"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8"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1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08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3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37"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单采血浆站</w:t>
            </w:r>
          </w:p>
        </w:tc>
        <w:tc>
          <w:tcPr>
            <w:tcW w:w="512"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45"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3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91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1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0"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8"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1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08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3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37"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合计</w:t>
            </w:r>
          </w:p>
        </w:tc>
        <w:tc>
          <w:tcPr>
            <w:tcW w:w="512"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45"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3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91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1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0"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8"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1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8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089"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676"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1233"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837"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554"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c>
          <w:tcPr>
            <w:tcW w:w="721" w:type="dxa"/>
            <w:tcBorders>
              <w:top w:val="single" w:color="auto" w:sz="4" w:space="0"/>
              <w:left w:val="nil"/>
              <w:bottom w:val="single" w:color="auto" w:sz="4" w:space="0"/>
              <w:right w:val="single" w:color="auto" w:sz="4" w:space="0"/>
            </w:tcBorders>
            <w:vAlign w:val="center"/>
          </w:tcPr>
          <w:p>
            <w:pPr>
              <w:spacing w:line="200" w:lineRule="exact"/>
              <w:jc w:val="center"/>
              <w:rPr>
                <w:rFonts w:ascii="仿宋" w:hAnsi="仿宋" w:eastAsia="仿宋"/>
                <w:szCs w:val="21"/>
              </w:rPr>
            </w:pPr>
          </w:p>
        </w:tc>
      </w:tr>
    </w:tbl>
    <w:p>
      <w:pPr>
        <w:widowControl/>
        <w:spacing w:line="360" w:lineRule="auto"/>
        <w:jc w:val="left"/>
        <w:rPr>
          <w:rFonts w:hint="eastAsia" w:ascii="黑体" w:hAnsi="黑体" w:eastAsia="黑体"/>
          <w:sz w:val="32"/>
          <w:szCs w:val="32"/>
        </w:rPr>
      </w:pPr>
    </w:p>
    <w:p>
      <w:pPr>
        <w:widowControl/>
        <w:spacing w:line="360" w:lineRule="auto"/>
        <w:jc w:val="left"/>
        <w:rPr>
          <w:rFonts w:ascii="黑体" w:hAnsi="黑体" w:eastAsia="黑体" w:cs="Times New Roman"/>
          <w:sz w:val="32"/>
          <w:szCs w:val="32"/>
        </w:rPr>
      </w:pPr>
      <w:r>
        <w:rPr>
          <w:rFonts w:hint="eastAsia" w:ascii="黑体" w:hAnsi="黑体" w:eastAsia="黑体"/>
          <w:sz w:val="32"/>
          <w:szCs w:val="32"/>
        </w:rPr>
        <w:t>附表5</w:t>
      </w:r>
    </w:p>
    <w:p>
      <w:pPr>
        <w:autoSpaceDE w:val="0"/>
        <w:spacing w:line="600" w:lineRule="exact"/>
        <w:jc w:val="center"/>
        <w:rPr>
          <w:rFonts w:ascii="方正小标宋简体" w:hAnsi="Times New Roman" w:eastAsia="方正小标宋简体"/>
          <w:bCs/>
          <w:sz w:val="36"/>
          <w:szCs w:val="36"/>
        </w:rPr>
      </w:pPr>
      <w:r>
        <w:rPr>
          <w:rFonts w:hint="eastAsia" w:ascii="方正小标宋简体" w:eastAsia="方正小标宋简体"/>
          <w:bCs/>
          <w:sz w:val="36"/>
          <w:szCs w:val="36"/>
        </w:rPr>
        <w:t>2022年母婴保健、计划生育技术服务机构国家随机监督抽查工作计划表</w:t>
      </w:r>
    </w:p>
    <w:p>
      <w:pPr>
        <w:autoSpaceDE w:val="0"/>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 xml:space="preserve"> </w:t>
      </w:r>
    </w:p>
    <w:tbl>
      <w:tblPr>
        <w:tblStyle w:val="9"/>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80"/>
        <w:gridCol w:w="1139"/>
        <w:gridCol w:w="874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序号</w:t>
            </w:r>
          </w:p>
        </w:tc>
        <w:tc>
          <w:tcPr>
            <w:tcW w:w="198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监督检查对象</w:t>
            </w:r>
          </w:p>
        </w:tc>
        <w:tc>
          <w:tcPr>
            <w:tcW w:w="1139"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抽查比例</w:t>
            </w:r>
          </w:p>
        </w:tc>
        <w:tc>
          <w:tcPr>
            <w:tcW w:w="8748"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检查内容</w:t>
            </w:r>
          </w:p>
        </w:tc>
        <w:tc>
          <w:tcPr>
            <w:tcW w:w="159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1</w:t>
            </w:r>
          </w:p>
        </w:tc>
        <w:tc>
          <w:tcPr>
            <w:tcW w:w="198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妇幼保健院</w:t>
            </w:r>
          </w:p>
        </w:tc>
        <w:tc>
          <w:tcPr>
            <w:tcW w:w="1139"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50%</w:t>
            </w:r>
          </w:p>
        </w:tc>
        <w:tc>
          <w:tcPr>
            <w:tcW w:w="8748" w:type="dxa"/>
            <w:vMerge w:val="restart"/>
            <w:tcBorders>
              <w:top w:val="single" w:color="auto" w:sz="4" w:space="0"/>
              <w:left w:val="nil"/>
              <w:bottom w:val="single" w:color="auto" w:sz="4" w:space="0"/>
              <w:right w:val="single" w:color="auto" w:sz="4" w:space="0"/>
            </w:tcBorders>
            <w:vAlign w:val="center"/>
          </w:tcPr>
          <w:p>
            <w:pPr>
              <w:autoSpaceDE w:val="0"/>
              <w:spacing w:line="0" w:lineRule="atLeast"/>
              <w:rPr>
                <w:rFonts w:ascii="仿宋" w:hAnsi="仿宋" w:eastAsia="仿宋"/>
                <w:szCs w:val="21"/>
              </w:rPr>
            </w:pPr>
            <w:r>
              <w:rPr>
                <w:rFonts w:hint="eastAsia" w:ascii="仿宋" w:hAnsi="仿宋" w:eastAsia="仿宋"/>
                <w:szCs w:val="21"/>
              </w:rPr>
              <w:t xml:space="preserve">1.机构及人员资质情况。开展母婴保健技术服务的机构执业资质和人员执业资格情况；开展计划生育技术服务的机构执业资质和人员执业资格情况；开展人类辅助生殖技术等服务的机构执业资质情况； </w:t>
            </w:r>
          </w:p>
          <w:p>
            <w:pPr>
              <w:autoSpaceDE w:val="0"/>
              <w:spacing w:line="0" w:lineRule="atLeast"/>
              <w:rPr>
                <w:rFonts w:ascii="仿宋" w:hAnsi="仿宋" w:eastAsia="仿宋"/>
                <w:szCs w:val="21"/>
              </w:rPr>
            </w:pPr>
            <w:r>
              <w:rPr>
                <w:rFonts w:hint="eastAsia" w:ascii="仿宋" w:hAnsi="仿宋" w:eastAsia="仿宋"/>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autoSpaceDE w:val="0"/>
              <w:spacing w:line="0" w:lineRule="atLeast"/>
              <w:rPr>
                <w:rFonts w:ascii="仿宋" w:hAnsi="仿宋" w:eastAsia="仿宋"/>
                <w:szCs w:val="21"/>
              </w:rPr>
            </w:pPr>
            <w:r>
              <w:rPr>
                <w:rFonts w:hint="eastAsia" w:ascii="仿宋" w:hAnsi="仿宋" w:eastAsia="仿宋"/>
                <w:szCs w:val="21"/>
              </w:rPr>
              <w:t>3.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0" w:type="dxa"/>
            <w:vMerge w:val="restart"/>
            <w:tcBorders>
              <w:top w:val="single" w:color="auto" w:sz="4" w:space="0"/>
              <w:left w:val="nil"/>
              <w:bottom w:val="single" w:color="auto" w:sz="4" w:space="0"/>
              <w:right w:val="single" w:color="auto" w:sz="4" w:space="0"/>
            </w:tcBorders>
          </w:tcPr>
          <w:p>
            <w:pPr>
              <w:autoSpaceDE w:val="0"/>
              <w:spacing w:line="0" w:lineRule="atLeast"/>
              <w:rPr>
                <w:rFonts w:ascii="仿宋" w:hAnsi="仿宋" w:eastAsia="仿宋"/>
                <w:szCs w:val="21"/>
              </w:rPr>
            </w:pPr>
          </w:p>
          <w:p>
            <w:pPr>
              <w:autoSpaceDE w:val="0"/>
              <w:spacing w:line="0" w:lineRule="atLeast"/>
              <w:rPr>
                <w:rFonts w:ascii="仿宋" w:hAnsi="仿宋" w:eastAsia="仿宋"/>
                <w:szCs w:val="21"/>
              </w:rPr>
            </w:pPr>
          </w:p>
          <w:p>
            <w:pPr>
              <w:autoSpaceDE w:val="0"/>
              <w:spacing w:line="0" w:lineRule="atLeast"/>
              <w:rPr>
                <w:rFonts w:ascii="仿宋" w:hAnsi="仿宋" w:eastAsia="仿宋"/>
                <w:szCs w:val="21"/>
              </w:rPr>
            </w:pPr>
            <w:r>
              <w:rPr>
                <w:rFonts w:hint="eastAsia" w:ascii="仿宋" w:hAnsi="仿宋" w:eastAsia="仿宋"/>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2</w:t>
            </w:r>
          </w:p>
        </w:tc>
        <w:tc>
          <w:tcPr>
            <w:tcW w:w="198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妇幼保健计划生育技术服务机构</w:t>
            </w:r>
          </w:p>
        </w:tc>
        <w:tc>
          <w:tcPr>
            <w:tcW w:w="1139"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50%</w:t>
            </w:r>
          </w:p>
        </w:tc>
        <w:tc>
          <w:tcPr>
            <w:tcW w:w="874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Cs w:val="21"/>
              </w:rPr>
            </w:pPr>
          </w:p>
        </w:tc>
        <w:tc>
          <w:tcPr>
            <w:tcW w:w="159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3</w:t>
            </w:r>
          </w:p>
        </w:tc>
        <w:tc>
          <w:tcPr>
            <w:tcW w:w="1980"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其他医疗、保健机构</w:t>
            </w:r>
          </w:p>
        </w:tc>
        <w:tc>
          <w:tcPr>
            <w:tcW w:w="1139"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 w:hAnsi="仿宋" w:eastAsia="仿宋"/>
                <w:szCs w:val="21"/>
              </w:rPr>
            </w:pPr>
            <w:r>
              <w:rPr>
                <w:rFonts w:hint="eastAsia" w:ascii="仿宋" w:hAnsi="仿宋" w:eastAsia="仿宋"/>
                <w:szCs w:val="21"/>
              </w:rPr>
              <w:t>50%</w:t>
            </w:r>
          </w:p>
        </w:tc>
        <w:tc>
          <w:tcPr>
            <w:tcW w:w="874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Cs w:val="21"/>
              </w:rPr>
            </w:pPr>
          </w:p>
        </w:tc>
        <w:tc>
          <w:tcPr>
            <w:tcW w:w="159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Cs w:val="21"/>
              </w:rPr>
            </w:pPr>
          </w:p>
        </w:tc>
      </w:tr>
    </w:tbl>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 xml:space="preserve">附表6  </w:t>
      </w:r>
    </w:p>
    <w:p>
      <w:pPr>
        <w:spacing w:line="560" w:lineRule="exact"/>
        <w:jc w:val="center"/>
        <w:rPr>
          <w:rFonts w:ascii="黑体" w:hAnsi="黑体" w:eastAsia="黑体"/>
          <w:sz w:val="36"/>
          <w:szCs w:val="36"/>
        </w:rPr>
      </w:pPr>
      <w:r>
        <w:rPr>
          <w:rFonts w:hint="eastAsia" w:ascii="方正小标宋简体" w:eastAsia="方正小标宋简体"/>
          <w:sz w:val="36"/>
          <w:szCs w:val="36"/>
        </w:rPr>
        <w:t>2022年母婴保健、计划生育技术服务机构国家随机监督抽查汇总表</w:t>
      </w:r>
    </w:p>
    <w:tbl>
      <w:tblPr>
        <w:tblStyle w:val="9"/>
        <w:tblW w:w="15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14"/>
        <w:gridCol w:w="276"/>
        <w:gridCol w:w="604"/>
        <w:gridCol w:w="582"/>
        <w:gridCol w:w="624"/>
        <w:gridCol w:w="579"/>
        <w:gridCol w:w="579"/>
        <w:gridCol w:w="579"/>
        <w:gridCol w:w="591"/>
        <w:gridCol w:w="603"/>
        <w:gridCol w:w="590"/>
        <w:gridCol w:w="603"/>
        <w:gridCol w:w="603"/>
        <w:gridCol w:w="591"/>
        <w:gridCol w:w="681"/>
        <w:gridCol w:w="594"/>
        <w:gridCol w:w="627"/>
        <w:gridCol w:w="591"/>
        <w:gridCol w:w="625"/>
        <w:gridCol w:w="644"/>
        <w:gridCol w:w="669"/>
        <w:gridCol w:w="334"/>
        <w:gridCol w:w="580"/>
        <w:gridCol w:w="625"/>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5"/>
                <w:szCs w:val="15"/>
              </w:rPr>
            </w:pPr>
            <w:r>
              <w:rPr>
                <w:rFonts w:hint="eastAsia" w:ascii="仿宋_GB2312"/>
                <w:sz w:val="15"/>
                <w:szCs w:val="15"/>
              </w:rPr>
              <w:t>单位</w:t>
            </w:r>
          </w:p>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5"/>
                <w:szCs w:val="15"/>
              </w:rPr>
            </w:pPr>
            <w:r>
              <w:rPr>
                <w:rFonts w:hint="eastAsia" w:ascii="仿宋_GB2312"/>
                <w:sz w:val="15"/>
                <w:szCs w:val="15"/>
              </w:rPr>
              <w:t>类别</w:t>
            </w:r>
          </w:p>
        </w:tc>
        <w:tc>
          <w:tcPr>
            <w:tcW w:w="31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left"/>
              <w:textAlignment w:val="auto"/>
              <w:outlineLvl w:val="9"/>
              <w:rPr>
                <w:rFonts w:ascii="仿宋_GB2312" w:eastAsia="仿宋_GB2312"/>
                <w:sz w:val="15"/>
                <w:szCs w:val="15"/>
              </w:rPr>
            </w:pPr>
            <w:r>
              <w:rPr>
                <w:rFonts w:hint="eastAsia" w:ascii="仿宋_GB2312"/>
                <w:sz w:val="15"/>
                <w:szCs w:val="15"/>
              </w:rPr>
              <w:t>辖区内单位总数</w:t>
            </w:r>
          </w:p>
        </w:tc>
        <w:tc>
          <w:tcPr>
            <w:tcW w:w="27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left"/>
              <w:textAlignment w:val="auto"/>
              <w:outlineLvl w:val="9"/>
              <w:rPr>
                <w:rFonts w:ascii="仿宋_GB2312" w:eastAsia="仿宋_GB2312"/>
                <w:sz w:val="15"/>
                <w:szCs w:val="15"/>
              </w:rPr>
            </w:pPr>
            <w:r>
              <w:rPr>
                <w:rFonts w:hint="eastAsia" w:ascii="仿宋_GB2312"/>
                <w:sz w:val="15"/>
                <w:szCs w:val="15"/>
              </w:rPr>
              <w:t>检查单位数</w:t>
            </w:r>
          </w:p>
        </w:tc>
        <w:tc>
          <w:tcPr>
            <w:tcW w:w="11559" w:type="dxa"/>
            <w:gridSpan w:val="19"/>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r>
              <w:rPr>
                <w:rFonts w:hint="eastAsia" w:ascii="仿宋_GB2312"/>
                <w:sz w:val="18"/>
                <w:szCs w:val="18"/>
              </w:rPr>
              <w:t>不合格情况</w:t>
            </w:r>
          </w:p>
        </w:tc>
        <w:tc>
          <w:tcPr>
            <w:tcW w:w="2143"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r>
              <w:rPr>
                <w:rFonts w:hint="eastAsia" w:ascii="仿宋_GB2312"/>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3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27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118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r>
              <w:rPr>
                <w:rFonts w:hint="eastAsia" w:ascii="仿宋_GB2312"/>
                <w:sz w:val="18"/>
                <w:szCs w:val="18"/>
              </w:rPr>
              <w:t>机构及人员资质情况</w:t>
            </w:r>
          </w:p>
        </w:tc>
        <w:tc>
          <w:tcPr>
            <w:tcW w:w="6623" w:type="dxa"/>
            <w:gridSpan w:val="11"/>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r>
              <w:rPr>
                <w:rFonts w:hint="eastAsia" w:ascii="仿宋_GB2312"/>
                <w:sz w:val="18"/>
                <w:szCs w:val="18"/>
              </w:rPr>
              <w:t>法律法规执行情况</w:t>
            </w:r>
          </w:p>
        </w:tc>
        <w:tc>
          <w:tcPr>
            <w:tcW w:w="3750"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r>
              <w:rPr>
                <w:rFonts w:hint="eastAsia" w:ascii="仿宋_GB2312"/>
                <w:sz w:val="18"/>
                <w:szCs w:val="18"/>
              </w:rPr>
              <w:t>制度建立情况</w:t>
            </w:r>
          </w:p>
        </w:tc>
        <w:tc>
          <w:tcPr>
            <w:tcW w:w="3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r>
              <w:rPr>
                <w:rFonts w:hint="eastAsia" w:ascii="仿宋_GB2312"/>
                <w:sz w:val="18"/>
                <w:szCs w:val="18"/>
              </w:rPr>
              <w:t>查处案件数</w:t>
            </w:r>
          </w:p>
        </w:tc>
        <w:tc>
          <w:tcPr>
            <w:tcW w:w="5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r>
              <w:rPr>
                <w:rFonts w:hint="eastAsia" w:ascii="仿宋_GB2312"/>
                <w:sz w:val="18"/>
                <w:szCs w:val="18"/>
              </w:rPr>
              <w:t>罚没款金额（万元）</w:t>
            </w: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r>
              <w:rPr>
                <w:rFonts w:hint="eastAsia" w:ascii="仿宋_GB2312"/>
                <w:sz w:val="18"/>
                <w:szCs w:val="18"/>
              </w:rPr>
              <w:t>吊销执业机构许可证单位数</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r>
              <w:rPr>
                <w:rFonts w:hint="eastAsia" w:ascii="仿宋_GB2312"/>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31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27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beforeAutospacing="0" w:afterAutospacing="0" w:line="0" w:lineRule="atLeast"/>
              <w:jc w:val="left"/>
              <w:textAlignment w:val="auto"/>
              <w:outlineLvl w:val="9"/>
              <w:rPr>
                <w:rFonts w:ascii="仿宋_GB2312" w:eastAsia="仿宋_GB2312"/>
                <w:sz w:val="15"/>
                <w:szCs w:val="15"/>
              </w:rPr>
            </w:pPr>
          </w:p>
        </w:tc>
        <w:tc>
          <w:tcPr>
            <w:tcW w:w="60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 xml:space="preserve">机构执业资质管理不符合要求单位数 </w:t>
            </w:r>
          </w:p>
        </w:tc>
        <w:tc>
          <w:tcPr>
            <w:tcW w:w="58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人员资格管理不符合要求单位数</w:t>
            </w:r>
          </w:p>
        </w:tc>
        <w:tc>
          <w:tcPr>
            <w:tcW w:w="62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机构未按照批准的业务范围和服务项目执业单位数</w:t>
            </w: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人员未按照批准的服务项目执业单位数</w:t>
            </w: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不符合开展技术服务的机构设置标准单位数</w:t>
            </w: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未按要求开展终止中期以上妊娠手术进行查验登记单位数</w:t>
            </w: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未按要求开展人类辅助生殖技术查验身份证、结婚证单位数</w:t>
            </w: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开展相关技术服务未按要求遵守知情同意原则单位数</w:t>
            </w:r>
          </w:p>
        </w:tc>
        <w:tc>
          <w:tcPr>
            <w:tcW w:w="59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出具医学证明文件和诊断报告不符合相关规定单位数</w:t>
            </w: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病历、记录、档案等文书不符合相关规定单位数</w:t>
            </w: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未按要求设置禁止“两非”警示标志单位数</w:t>
            </w: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违法发布母婴保健与计划生育技术服务广告单位数</w:t>
            </w:r>
          </w:p>
        </w:tc>
        <w:tc>
          <w:tcPr>
            <w:tcW w:w="6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开展产前诊断、人类辅助生殖技术等服务是否符合相关要求</w:t>
            </w:r>
          </w:p>
        </w:tc>
        <w:tc>
          <w:tcPr>
            <w:tcW w:w="59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未建立禁止胎儿性别鉴定管理制度单位数</w:t>
            </w:r>
          </w:p>
        </w:tc>
        <w:tc>
          <w:tcPr>
            <w:tcW w:w="627"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未建立终止中期以上妊娠查验登记制度单位数</w:t>
            </w: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未建立健全技术档案管理、转诊、追踪观察制度单位数</w:t>
            </w: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未建立孕产妇死亡、婴儿死亡以及新生儿</w:t>
            </w:r>
            <w:r>
              <w:rPr>
                <w:rFonts w:hint="eastAsia" w:ascii="仿宋_GB2312"/>
                <w:sz w:val="15"/>
                <w:szCs w:val="15"/>
                <w:lang w:val="en-US" w:eastAsia="zh-CN"/>
              </w:rPr>
              <w:t>出</w:t>
            </w:r>
            <w:r>
              <w:rPr>
                <w:rFonts w:hint="eastAsia" w:ascii="仿宋_GB2312"/>
                <w:sz w:val="15"/>
                <w:szCs w:val="15"/>
              </w:rPr>
              <w:t>生缺陷报告制度单位数</w:t>
            </w:r>
          </w:p>
        </w:tc>
        <w:tc>
          <w:tcPr>
            <w:tcW w:w="64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未建立出生医学证明管理制度单位数</w:t>
            </w:r>
          </w:p>
        </w:tc>
        <w:tc>
          <w:tcPr>
            <w:tcW w:w="6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r>
              <w:rPr>
                <w:rFonts w:hint="eastAsia" w:ascii="仿宋_GB2312"/>
                <w:sz w:val="15"/>
                <w:szCs w:val="15"/>
              </w:rPr>
              <w:t>不具有保证技术服务安全和服务质量的其他管理制度单位数</w:t>
            </w:r>
          </w:p>
        </w:tc>
        <w:tc>
          <w:tcPr>
            <w:tcW w:w="3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p>
        </w:tc>
        <w:tc>
          <w:tcPr>
            <w:tcW w:w="58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p>
        </w:tc>
        <w:tc>
          <w:tcPr>
            <w:tcW w:w="60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6"/>
                <w:szCs w:val="16"/>
              </w:rPr>
            </w:pPr>
            <w:r>
              <w:rPr>
                <w:rFonts w:hint="eastAsia" w:ascii="仿宋_GB2312"/>
                <w:sz w:val="16"/>
                <w:szCs w:val="16"/>
              </w:rPr>
              <w:t>妇幼保健院</w:t>
            </w:r>
          </w:p>
        </w:tc>
        <w:tc>
          <w:tcPr>
            <w:tcW w:w="3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7"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4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3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6"/>
                <w:szCs w:val="16"/>
              </w:rPr>
            </w:pPr>
            <w:r>
              <w:rPr>
                <w:rFonts w:hint="eastAsia" w:ascii="仿宋_GB2312"/>
                <w:sz w:val="16"/>
                <w:szCs w:val="16"/>
              </w:rPr>
              <w:t>妇幼保健计划生育技术服务机构</w:t>
            </w:r>
          </w:p>
        </w:tc>
        <w:tc>
          <w:tcPr>
            <w:tcW w:w="3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7"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4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3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6"/>
                <w:szCs w:val="16"/>
              </w:rPr>
            </w:pPr>
            <w:r>
              <w:rPr>
                <w:rFonts w:hint="eastAsia" w:ascii="仿宋_GB2312"/>
                <w:sz w:val="16"/>
                <w:szCs w:val="16"/>
              </w:rPr>
              <w:t>其他医疗、保健机构</w:t>
            </w:r>
          </w:p>
        </w:tc>
        <w:tc>
          <w:tcPr>
            <w:tcW w:w="3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7"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4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3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58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jc w:val="center"/>
              <w:textAlignment w:val="auto"/>
              <w:outlineLvl w:val="9"/>
              <w:rPr>
                <w:rFonts w:ascii="仿宋_GB2312" w:eastAsia="仿宋_GB2312"/>
                <w:sz w:val="16"/>
                <w:szCs w:val="16"/>
              </w:rPr>
            </w:pPr>
            <w:r>
              <w:rPr>
                <w:rFonts w:hint="eastAsia" w:ascii="仿宋_GB2312"/>
                <w:sz w:val="16"/>
                <w:szCs w:val="16"/>
              </w:rPr>
              <w:t>合计</w:t>
            </w:r>
          </w:p>
        </w:tc>
        <w:tc>
          <w:tcPr>
            <w:tcW w:w="3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2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7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9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27"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9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4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3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58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2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c>
          <w:tcPr>
            <w:tcW w:w="60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napToGrid/>
              <w:spacing w:beforeAutospacing="0" w:afterAutospacing="0" w:line="0" w:lineRule="atLeast"/>
              <w:textAlignment w:val="auto"/>
              <w:outlineLvl w:val="9"/>
              <w:rPr>
                <w:rFonts w:ascii="仿宋_GB2312" w:eastAsia="仿宋_GB2312"/>
                <w:sz w:val="18"/>
                <w:szCs w:val="18"/>
              </w:rPr>
            </w:pPr>
          </w:p>
        </w:tc>
      </w:tr>
    </w:tbl>
    <w:p>
      <w:pPr>
        <w:widowControl/>
        <w:autoSpaceDE w:val="0"/>
        <w:spacing w:line="40" w:lineRule="exact"/>
        <w:jc w:val="left"/>
        <w:rPr>
          <w:rFonts w:ascii="仿宋" w:hAnsi="仿宋" w:eastAsia="仿宋"/>
          <w:sz w:val="32"/>
          <w:szCs w:val="32"/>
        </w:rPr>
      </w:pPr>
      <w:r>
        <w:rPr>
          <w:rFonts w:hint="eastAsia" w:ascii="仿宋" w:hAnsi="仿宋" w:eastAsia="仿宋"/>
        </w:rPr>
        <w:t xml:space="preserve"> </w:t>
      </w:r>
    </w:p>
    <w:sectPr>
      <w:pgSz w:w="16838" w:h="11906" w:orient="landscape"/>
      <w:pgMar w:top="1984" w:right="1474" w:bottom="1871" w:left="1588" w:header="850" w:footer="1417"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细等线_GBK">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ZWU0MDQ5NWJiNWExYzliMWY3YzAxZWMzZTA0NGIifQ=="/>
  </w:docVars>
  <w:rsids>
    <w:rsidRoot w:val="007B32AF"/>
    <w:rsid w:val="0000092B"/>
    <w:rsid w:val="000039BF"/>
    <w:rsid w:val="000049CB"/>
    <w:rsid w:val="00006439"/>
    <w:rsid w:val="00017346"/>
    <w:rsid w:val="000212AF"/>
    <w:rsid w:val="00033CD2"/>
    <w:rsid w:val="00047CF7"/>
    <w:rsid w:val="00051A7F"/>
    <w:rsid w:val="00062BD4"/>
    <w:rsid w:val="00066FEC"/>
    <w:rsid w:val="00082687"/>
    <w:rsid w:val="000950D5"/>
    <w:rsid w:val="00096229"/>
    <w:rsid w:val="000975AC"/>
    <w:rsid w:val="000A4EFC"/>
    <w:rsid w:val="000D6A8A"/>
    <w:rsid w:val="000E2722"/>
    <w:rsid w:val="000F4D19"/>
    <w:rsid w:val="000F59CF"/>
    <w:rsid w:val="001027F7"/>
    <w:rsid w:val="00120C2D"/>
    <w:rsid w:val="00127245"/>
    <w:rsid w:val="00127A9F"/>
    <w:rsid w:val="0014244B"/>
    <w:rsid w:val="0014404C"/>
    <w:rsid w:val="00145FD8"/>
    <w:rsid w:val="001514EB"/>
    <w:rsid w:val="00151696"/>
    <w:rsid w:val="00151703"/>
    <w:rsid w:val="00162107"/>
    <w:rsid w:val="00171B7B"/>
    <w:rsid w:val="00182007"/>
    <w:rsid w:val="001870E7"/>
    <w:rsid w:val="00195115"/>
    <w:rsid w:val="001A2C9C"/>
    <w:rsid w:val="001A3E20"/>
    <w:rsid w:val="001A7155"/>
    <w:rsid w:val="001B4C98"/>
    <w:rsid w:val="001B7CD4"/>
    <w:rsid w:val="001C2105"/>
    <w:rsid w:val="001C6DF3"/>
    <w:rsid w:val="001D2972"/>
    <w:rsid w:val="001D67C1"/>
    <w:rsid w:val="001D6AFB"/>
    <w:rsid w:val="001E1C3A"/>
    <w:rsid w:val="001E3B53"/>
    <w:rsid w:val="001E476C"/>
    <w:rsid w:val="001E5526"/>
    <w:rsid w:val="001F068E"/>
    <w:rsid w:val="001F0D54"/>
    <w:rsid w:val="00203023"/>
    <w:rsid w:val="00204B5D"/>
    <w:rsid w:val="00215908"/>
    <w:rsid w:val="00216DB4"/>
    <w:rsid w:val="002230F3"/>
    <w:rsid w:val="002264D8"/>
    <w:rsid w:val="002304E6"/>
    <w:rsid w:val="00230575"/>
    <w:rsid w:val="00232243"/>
    <w:rsid w:val="0023416D"/>
    <w:rsid w:val="00250C25"/>
    <w:rsid w:val="00252DFC"/>
    <w:rsid w:val="0025561F"/>
    <w:rsid w:val="00256B1B"/>
    <w:rsid w:val="0025742F"/>
    <w:rsid w:val="00257D81"/>
    <w:rsid w:val="00265F74"/>
    <w:rsid w:val="002717DA"/>
    <w:rsid w:val="00277340"/>
    <w:rsid w:val="00280D2B"/>
    <w:rsid w:val="002828EF"/>
    <w:rsid w:val="0029532C"/>
    <w:rsid w:val="002A24FC"/>
    <w:rsid w:val="002C198F"/>
    <w:rsid w:val="002C5258"/>
    <w:rsid w:val="002C5D43"/>
    <w:rsid w:val="002D41A0"/>
    <w:rsid w:val="002D6F69"/>
    <w:rsid w:val="002E564A"/>
    <w:rsid w:val="002F081F"/>
    <w:rsid w:val="002F5233"/>
    <w:rsid w:val="002F60BC"/>
    <w:rsid w:val="002F66A3"/>
    <w:rsid w:val="00302A24"/>
    <w:rsid w:val="00302CF9"/>
    <w:rsid w:val="00306398"/>
    <w:rsid w:val="0030664F"/>
    <w:rsid w:val="0031116C"/>
    <w:rsid w:val="00314EFA"/>
    <w:rsid w:val="003201F2"/>
    <w:rsid w:val="0032039A"/>
    <w:rsid w:val="003244AF"/>
    <w:rsid w:val="00330F2B"/>
    <w:rsid w:val="0033335D"/>
    <w:rsid w:val="00336A01"/>
    <w:rsid w:val="00347F85"/>
    <w:rsid w:val="0036263B"/>
    <w:rsid w:val="003628C7"/>
    <w:rsid w:val="0036463E"/>
    <w:rsid w:val="003744F2"/>
    <w:rsid w:val="00374D75"/>
    <w:rsid w:val="00380C9F"/>
    <w:rsid w:val="00383C78"/>
    <w:rsid w:val="00387188"/>
    <w:rsid w:val="003900BB"/>
    <w:rsid w:val="003B41EE"/>
    <w:rsid w:val="003B7627"/>
    <w:rsid w:val="003C1277"/>
    <w:rsid w:val="003C3355"/>
    <w:rsid w:val="003D0D28"/>
    <w:rsid w:val="003E2835"/>
    <w:rsid w:val="003F356E"/>
    <w:rsid w:val="003F45C9"/>
    <w:rsid w:val="004019D5"/>
    <w:rsid w:val="00415808"/>
    <w:rsid w:val="004302C7"/>
    <w:rsid w:val="00431BE8"/>
    <w:rsid w:val="004326F8"/>
    <w:rsid w:val="004366A9"/>
    <w:rsid w:val="004420D3"/>
    <w:rsid w:val="00453490"/>
    <w:rsid w:val="00455650"/>
    <w:rsid w:val="00457859"/>
    <w:rsid w:val="004604BC"/>
    <w:rsid w:val="004617CB"/>
    <w:rsid w:val="004631E1"/>
    <w:rsid w:val="00470829"/>
    <w:rsid w:val="004719A0"/>
    <w:rsid w:val="004778DD"/>
    <w:rsid w:val="0048421F"/>
    <w:rsid w:val="00485994"/>
    <w:rsid w:val="00494FB0"/>
    <w:rsid w:val="0049524E"/>
    <w:rsid w:val="004A225B"/>
    <w:rsid w:val="004A22B2"/>
    <w:rsid w:val="004B1CCC"/>
    <w:rsid w:val="004B6BD0"/>
    <w:rsid w:val="004C4053"/>
    <w:rsid w:val="004C5BD5"/>
    <w:rsid w:val="004D4B35"/>
    <w:rsid w:val="004E3DED"/>
    <w:rsid w:val="004E7B79"/>
    <w:rsid w:val="004F5CF2"/>
    <w:rsid w:val="005035E2"/>
    <w:rsid w:val="0051013F"/>
    <w:rsid w:val="00510243"/>
    <w:rsid w:val="00510A17"/>
    <w:rsid w:val="00514D22"/>
    <w:rsid w:val="00520EA7"/>
    <w:rsid w:val="005334A6"/>
    <w:rsid w:val="005425C6"/>
    <w:rsid w:val="0054477D"/>
    <w:rsid w:val="005475CB"/>
    <w:rsid w:val="00553810"/>
    <w:rsid w:val="00562901"/>
    <w:rsid w:val="00565EDF"/>
    <w:rsid w:val="00570924"/>
    <w:rsid w:val="00575AB7"/>
    <w:rsid w:val="005819B3"/>
    <w:rsid w:val="005A0054"/>
    <w:rsid w:val="005A0BBC"/>
    <w:rsid w:val="005A12D0"/>
    <w:rsid w:val="005A1F60"/>
    <w:rsid w:val="005A210A"/>
    <w:rsid w:val="005A2350"/>
    <w:rsid w:val="005B2182"/>
    <w:rsid w:val="005B48AD"/>
    <w:rsid w:val="005B7201"/>
    <w:rsid w:val="005B7F50"/>
    <w:rsid w:val="005C18BB"/>
    <w:rsid w:val="005D2EF6"/>
    <w:rsid w:val="005D4297"/>
    <w:rsid w:val="005F3D1D"/>
    <w:rsid w:val="006004F8"/>
    <w:rsid w:val="00605A36"/>
    <w:rsid w:val="00605ACA"/>
    <w:rsid w:val="00613AE6"/>
    <w:rsid w:val="00615620"/>
    <w:rsid w:val="00617ACC"/>
    <w:rsid w:val="006235B3"/>
    <w:rsid w:val="00625E02"/>
    <w:rsid w:val="00627E4C"/>
    <w:rsid w:val="006302D5"/>
    <w:rsid w:val="00646B26"/>
    <w:rsid w:val="0065187C"/>
    <w:rsid w:val="0065190E"/>
    <w:rsid w:val="00652FF1"/>
    <w:rsid w:val="00655BFF"/>
    <w:rsid w:val="0066391B"/>
    <w:rsid w:val="0066705C"/>
    <w:rsid w:val="00671AF9"/>
    <w:rsid w:val="00686BC4"/>
    <w:rsid w:val="0068799D"/>
    <w:rsid w:val="00692A6C"/>
    <w:rsid w:val="006A58DA"/>
    <w:rsid w:val="006A60A8"/>
    <w:rsid w:val="006A6F48"/>
    <w:rsid w:val="006B243A"/>
    <w:rsid w:val="006B2D00"/>
    <w:rsid w:val="006B47B3"/>
    <w:rsid w:val="006B62EA"/>
    <w:rsid w:val="006C750B"/>
    <w:rsid w:val="006D1C51"/>
    <w:rsid w:val="006D3BD5"/>
    <w:rsid w:val="006E3B8A"/>
    <w:rsid w:val="006E5B64"/>
    <w:rsid w:val="006E6473"/>
    <w:rsid w:val="006F2595"/>
    <w:rsid w:val="006F57E7"/>
    <w:rsid w:val="00701D9B"/>
    <w:rsid w:val="00707204"/>
    <w:rsid w:val="00713727"/>
    <w:rsid w:val="00713AE1"/>
    <w:rsid w:val="00715FD4"/>
    <w:rsid w:val="007170B0"/>
    <w:rsid w:val="00726A23"/>
    <w:rsid w:val="0073203B"/>
    <w:rsid w:val="00733F71"/>
    <w:rsid w:val="00740C68"/>
    <w:rsid w:val="00743727"/>
    <w:rsid w:val="00745AE1"/>
    <w:rsid w:val="00750815"/>
    <w:rsid w:val="00750DDE"/>
    <w:rsid w:val="00753546"/>
    <w:rsid w:val="00756417"/>
    <w:rsid w:val="00757409"/>
    <w:rsid w:val="00757B25"/>
    <w:rsid w:val="0077047D"/>
    <w:rsid w:val="00773B5D"/>
    <w:rsid w:val="00795FCB"/>
    <w:rsid w:val="007A2F0C"/>
    <w:rsid w:val="007A38EE"/>
    <w:rsid w:val="007A6FA5"/>
    <w:rsid w:val="007A785F"/>
    <w:rsid w:val="007B1557"/>
    <w:rsid w:val="007B18C8"/>
    <w:rsid w:val="007B32AF"/>
    <w:rsid w:val="007B5C1E"/>
    <w:rsid w:val="007C09B6"/>
    <w:rsid w:val="007C43C6"/>
    <w:rsid w:val="007C50E3"/>
    <w:rsid w:val="007C6143"/>
    <w:rsid w:val="007E0247"/>
    <w:rsid w:val="007E4C84"/>
    <w:rsid w:val="007E4F71"/>
    <w:rsid w:val="007F58D7"/>
    <w:rsid w:val="007F76F8"/>
    <w:rsid w:val="008045D3"/>
    <w:rsid w:val="0080523F"/>
    <w:rsid w:val="00813FBC"/>
    <w:rsid w:val="008213BB"/>
    <w:rsid w:val="00821EB6"/>
    <w:rsid w:val="00826197"/>
    <w:rsid w:val="008322D8"/>
    <w:rsid w:val="0083427F"/>
    <w:rsid w:val="0084633A"/>
    <w:rsid w:val="00852232"/>
    <w:rsid w:val="008530D2"/>
    <w:rsid w:val="008544C2"/>
    <w:rsid w:val="00855594"/>
    <w:rsid w:val="00855DF7"/>
    <w:rsid w:val="00856827"/>
    <w:rsid w:val="008613D4"/>
    <w:rsid w:val="00863250"/>
    <w:rsid w:val="0086736D"/>
    <w:rsid w:val="00871C1D"/>
    <w:rsid w:val="00881A37"/>
    <w:rsid w:val="00892609"/>
    <w:rsid w:val="00893B5F"/>
    <w:rsid w:val="00893DFC"/>
    <w:rsid w:val="00897A90"/>
    <w:rsid w:val="008A3644"/>
    <w:rsid w:val="008A5BC9"/>
    <w:rsid w:val="008B1D31"/>
    <w:rsid w:val="008B291C"/>
    <w:rsid w:val="008B4E26"/>
    <w:rsid w:val="008B527F"/>
    <w:rsid w:val="008C25BE"/>
    <w:rsid w:val="008C2EA2"/>
    <w:rsid w:val="008E0029"/>
    <w:rsid w:val="008E5CC0"/>
    <w:rsid w:val="00904023"/>
    <w:rsid w:val="0090565B"/>
    <w:rsid w:val="00914778"/>
    <w:rsid w:val="00916565"/>
    <w:rsid w:val="00927C5A"/>
    <w:rsid w:val="00932AA5"/>
    <w:rsid w:val="00951113"/>
    <w:rsid w:val="00953431"/>
    <w:rsid w:val="009578AF"/>
    <w:rsid w:val="0097134D"/>
    <w:rsid w:val="00990EA0"/>
    <w:rsid w:val="009A1343"/>
    <w:rsid w:val="009A59FD"/>
    <w:rsid w:val="009A78D1"/>
    <w:rsid w:val="009B287D"/>
    <w:rsid w:val="009D584C"/>
    <w:rsid w:val="009E64C5"/>
    <w:rsid w:val="009F0B39"/>
    <w:rsid w:val="009F12FE"/>
    <w:rsid w:val="009F4306"/>
    <w:rsid w:val="009F43FC"/>
    <w:rsid w:val="009F6826"/>
    <w:rsid w:val="009F6972"/>
    <w:rsid w:val="00A00E02"/>
    <w:rsid w:val="00A01F28"/>
    <w:rsid w:val="00A0280D"/>
    <w:rsid w:val="00A0621B"/>
    <w:rsid w:val="00A22ECE"/>
    <w:rsid w:val="00A247E5"/>
    <w:rsid w:val="00A254AD"/>
    <w:rsid w:val="00A3300E"/>
    <w:rsid w:val="00A338D9"/>
    <w:rsid w:val="00A366AD"/>
    <w:rsid w:val="00A375ED"/>
    <w:rsid w:val="00A46BC2"/>
    <w:rsid w:val="00A477AF"/>
    <w:rsid w:val="00A5157C"/>
    <w:rsid w:val="00A551FF"/>
    <w:rsid w:val="00A578FE"/>
    <w:rsid w:val="00A6325C"/>
    <w:rsid w:val="00A67B4D"/>
    <w:rsid w:val="00A739B9"/>
    <w:rsid w:val="00A82955"/>
    <w:rsid w:val="00A82FFF"/>
    <w:rsid w:val="00A8602F"/>
    <w:rsid w:val="00AA15F4"/>
    <w:rsid w:val="00AA5494"/>
    <w:rsid w:val="00AB50DA"/>
    <w:rsid w:val="00AC4235"/>
    <w:rsid w:val="00AC544E"/>
    <w:rsid w:val="00AE20E2"/>
    <w:rsid w:val="00AE2483"/>
    <w:rsid w:val="00AE4D76"/>
    <w:rsid w:val="00B1031D"/>
    <w:rsid w:val="00B17C71"/>
    <w:rsid w:val="00B22850"/>
    <w:rsid w:val="00B27853"/>
    <w:rsid w:val="00B32719"/>
    <w:rsid w:val="00B3374D"/>
    <w:rsid w:val="00B33CE5"/>
    <w:rsid w:val="00B4550E"/>
    <w:rsid w:val="00B57697"/>
    <w:rsid w:val="00B601D4"/>
    <w:rsid w:val="00B634C9"/>
    <w:rsid w:val="00B64D93"/>
    <w:rsid w:val="00B71D60"/>
    <w:rsid w:val="00B725DE"/>
    <w:rsid w:val="00B76BD5"/>
    <w:rsid w:val="00B77DFD"/>
    <w:rsid w:val="00B81663"/>
    <w:rsid w:val="00B913C5"/>
    <w:rsid w:val="00BA1759"/>
    <w:rsid w:val="00BB3E09"/>
    <w:rsid w:val="00BB44D7"/>
    <w:rsid w:val="00BB681F"/>
    <w:rsid w:val="00BC3BDD"/>
    <w:rsid w:val="00BD2A60"/>
    <w:rsid w:val="00BD6454"/>
    <w:rsid w:val="00BE3087"/>
    <w:rsid w:val="00C03D04"/>
    <w:rsid w:val="00C11A3C"/>
    <w:rsid w:val="00C16E1F"/>
    <w:rsid w:val="00C221C6"/>
    <w:rsid w:val="00C27BA6"/>
    <w:rsid w:val="00C3180E"/>
    <w:rsid w:val="00C3571B"/>
    <w:rsid w:val="00C42B1C"/>
    <w:rsid w:val="00C44579"/>
    <w:rsid w:val="00C45636"/>
    <w:rsid w:val="00C47986"/>
    <w:rsid w:val="00C65846"/>
    <w:rsid w:val="00C67A13"/>
    <w:rsid w:val="00C7547F"/>
    <w:rsid w:val="00C75623"/>
    <w:rsid w:val="00C84C88"/>
    <w:rsid w:val="00C91383"/>
    <w:rsid w:val="00C964BA"/>
    <w:rsid w:val="00CA005C"/>
    <w:rsid w:val="00CA4CB5"/>
    <w:rsid w:val="00CB1628"/>
    <w:rsid w:val="00CC07A6"/>
    <w:rsid w:val="00CC14A1"/>
    <w:rsid w:val="00CE1190"/>
    <w:rsid w:val="00CE3E41"/>
    <w:rsid w:val="00CE516B"/>
    <w:rsid w:val="00CF29A3"/>
    <w:rsid w:val="00CF5AFE"/>
    <w:rsid w:val="00CF71C6"/>
    <w:rsid w:val="00CF781B"/>
    <w:rsid w:val="00D0007F"/>
    <w:rsid w:val="00D25FEA"/>
    <w:rsid w:val="00D27086"/>
    <w:rsid w:val="00D3097D"/>
    <w:rsid w:val="00D36653"/>
    <w:rsid w:val="00D438D4"/>
    <w:rsid w:val="00D44A9E"/>
    <w:rsid w:val="00D45C28"/>
    <w:rsid w:val="00D50267"/>
    <w:rsid w:val="00D51941"/>
    <w:rsid w:val="00D53E9C"/>
    <w:rsid w:val="00D56291"/>
    <w:rsid w:val="00D62A5F"/>
    <w:rsid w:val="00D63A98"/>
    <w:rsid w:val="00D64B6C"/>
    <w:rsid w:val="00D661AD"/>
    <w:rsid w:val="00D86C08"/>
    <w:rsid w:val="00D951B3"/>
    <w:rsid w:val="00DA6563"/>
    <w:rsid w:val="00DB2583"/>
    <w:rsid w:val="00DC1819"/>
    <w:rsid w:val="00DC27E4"/>
    <w:rsid w:val="00DC4C67"/>
    <w:rsid w:val="00DD07C6"/>
    <w:rsid w:val="00DD44A6"/>
    <w:rsid w:val="00DD531A"/>
    <w:rsid w:val="00DD59F1"/>
    <w:rsid w:val="00DE532A"/>
    <w:rsid w:val="00DE7F50"/>
    <w:rsid w:val="00DF0F96"/>
    <w:rsid w:val="00DF128C"/>
    <w:rsid w:val="00E040D7"/>
    <w:rsid w:val="00E04EDD"/>
    <w:rsid w:val="00E11299"/>
    <w:rsid w:val="00E1636D"/>
    <w:rsid w:val="00E1709B"/>
    <w:rsid w:val="00E22C94"/>
    <w:rsid w:val="00E25F9C"/>
    <w:rsid w:val="00E42BAA"/>
    <w:rsid w:val="00E43A1A"/>
    <w:rsid w:val="00E471B5"/>
    <w:rsid w:val="00E53372"/>
    <w:rsid w:val="00E540E4"/>
    <w:rsid w:val="00E542A0"/>
    <w:rsid w:val="00E61B53"/>
    <w:rsid w:val="00E65C05"/>
    <w:rsid w:val="00E823F1"/>
    <w:rsid w:val="00E862EF"/>
    <w:rsid w:val="00E90A58"/>
    <w:rsid w:val="00EA719A"/>
    <w:rsid w:val="00EB2B3E"/>
    <w:rsid w:val="00EB4227"/>
    <w:rsid w:val="00EB53DF"/>
    <w:rsid w:val="00EB7ABF"/>
    <w:rsid w:val="00ED2054"/>
    <w:rsid w:val="00ED3248"/>
    <w:rsid w:val="00ED5595"/>
    <w:rsid w:val="00ED6F05"/>
    <w:rsid w:val="00ED7EF3"/>
    <w:rsid w:val="00EE1FFB"/>
    <w:rsid w:val="00EF16B6"/>
    <w:rsid w:val="00EF268B"/>
    <w:rsid w:val="00EF7669"/>
    <w:rsid w:val="00F02950"/>
    <w:rsid w:val="00F1091A"/>
    <w:rsid w:val="00F1575F"/>
    <w:rsid w:val="00F24402"/>
    <w:rsid w:val="00F278BB"/>
    <w:rsid w:val="00F33358"/>
    <w:rsid w:val="00F43813"/>
    <w:rsid w:val="00F44C0F"/>
    <w:rsid w:val="00F45227"/>
    <w:rsid w:val="00F46FB8"/>
    <w:rsid w:val="00F54382"/>
    <w:rsid w:val="00F57F3A"/>
    <w:rsid w:val="00F638D2"/>
    <w:rsid w:val="00F6553D"/>
    <w:rsid w:val="00F77CC3"/>
    <w:rsid w:val="00F90AA2"/>
    <w:rsid w:val="00F913A8"/>
    <w:rsid w:val="00F93BA1"/>
    <w:rsid w:val="00F978F6"/>
    <w:rsid w:val="00FA2A10"/>
    <w:rsid w:val="00FA536C"/>
    <w:rsid w:val="00FB1BC7"/>
    <w:rsid w:val="00FB2303"/>
    <w:rsid w:val="00FB3F77"/>
    <w:rsid w:val="00FC6579"/>
    <w:rsid w:val="00FD1C7C"/>
    <w:rsid w:val="00FD314A"/>
    <w:rsid w:val="00FD52D9"/>
    <w:rsid w:val="00FD6786"/>
    <w:rsid w:val="00FE53E1"/>
    <w:rsid w:val="00FF0516"/>
    <w:rsid w:val="04A7535A"/>
    <w:rsid w:val="17BEF5E9"/>
    <w:rsid w:val="17BF5217"/>
    <w:rsid w:val="1AD7F23B"/>
    <w:rsid w:val="1FDF9A71"/>
    <w:rsid w:val="1FFE7BD7"/>
    <w:rsid w:val="2EEB6812"/>
    <w:rsid w:val="31C17E77"/>
    <w:rsid w:val="37CD0C68"/>
    <w:rsid w:val="37D68A2D"/>
    <w:rsid w:val="387C1C03"/>
    <w:rsid w:val="39A80A7A"/>
    <w:rsid w:val="3AFE617C"/>
    <w:rsid w:val="3BEF3DB1"/>
    <w:rsid w:val="3BFF1F5A"/>
    <w:rsid w:val="3E5F57D4"/>
    <w:rsid w:val="3EFF9E84"/>
    <w:rsid w:val="3F5F6586"/>
    <w:rsid w:val="3FBF29E2"/>
    <w:rsid w:val="3FF98CE3"/>
    <w:rsid w:val="53FF8CEC"/>
    <w:rsid w:val="556D132A"/>
    <w:rsid w:val="57BF1954"/>
    <w:rsid w:val="57FCB34F"/>
    <w:rsid w:val="5D9F8356"/>
    <w:rsid w:val="5EF066FD"/>
    <w:rsid w:val="5F9B52C7"/>
    <w:rsid w:val="5FFFE89F"/>
    <w:rsid w:val="63C7196A"/>
    <w:rsid w:val="67EF6E1F"/>
    <w:rsid w:val="6B787E4C"/>
    <w:rsid w:val="6B9F6C11"/>
    <w:rsid w:val="6BFD61EC"/>
    <w:rsid w:val="6D467840"/>
    <w:rsid w:val="768F35BB"/>
    <w:rsid w:val="77DCDF4E"/>
    <w:rsid w:val="77EB0C84"/>
    <w:rsid w:val="79A657CE"/>
    <w:rsid w:val="7CCE78E2"/>
    <w:rsid w:val="7D9C5524"/>
    <w:rsid w:val="7DB93853"/>
    <w:rsid w:val="7F7B42B5"/>
    <w:rsid w:val="7FBE9A4A"/>
    <w:rsid w:val="7FCF5B05"/>
    <w:rsid w:val="7FD92E72"/>
    <w:rsid w:val="7FDFB422"/>
    <w:rsid w:val="7FF2161C"/>
    <w:rsid w:val="96EF6027"/>
    <w:rsid w:val="A3BDB425"/>
    <w:rsid w:val="AAFFCB7B"/>
    <w:rsid w:val="AEFAA0A7"/>
    <w:rsid w:val="BDE5A19F"/>
    <w:rsid w:val="BDEFE5C4"/>
    <w:rsid w:val="BEF7EB61"/>
    <w:rsid w:val="CFDF7562"/>
    <w:rsid w:val="CFF7F34C"/>
    <w:rsid w:val="D7F73A0B"/>
    <w:rsid w:val="DB9FABAB"/>
    <w:rsid w:val="DF7CF62B"/>
    <w:rsid w:val="DFAD9BDC"/>
    <w:rsid w:val="DFED33AB"/>
    <w:rsid w:val="E1FFACBC"/>
    <w:rsid w:val="E7CEB24F"/>
    <w:rsid w:val="EEBD0990"/>
    <w:rsid w:val="EEF32E8C"/>
    <w:rsid w:val="EFDC3D52"/>
    <w:rsid w:val="EFDF257F"/>
    <w:rsid w:val="EFFE2AE4"/>
    <w:rsid w:val="F177D72B"/>
    <w:rsid w:val="F1FE20E3"/>
    <w:rsid w:val="F3DF6BA5"/>
    <w:rsid w:val="F3F6B882"/>
    <w:rsid w:val="F3FF6B38"/>
    <w:rsid w:val="F7B72B79"/>
    <w:rsid w:val="F7DBAA0D"/>
    <w:rsid w:val="F7FB42D4"/>
    <w:rsid w:val="FAFFA2A2"/>
    <w:rsid w:val="FBF74EFA"/>
    <w:rsid w:val="FBFFD641"/>
    <w:rsid w:val="FDBBBFBC"/>
    <w:rsid w:val="FEDD78CE"/>
    <w:rsid w:val="FF4F9251"/>
    <w:rsid w:val="FF77386B"/>
    <w:rsid w:val="FFBBBDF9"/>
    <w:rsid w:val="FFBD6063"/>
    <w:rsid w:val="FFCF5F07"/>
    <w:rsid w:val="FFDB5D8F"/>
    <w:rsid w:val="FFEF8A47"/>
    <w:rsid w:val="FFF38365"/>
    <w:rsid w:val="FFFAFE31"/>
    <w:rsid w:val="FFFDEE3A"/>
    <w:rsid w:val="FFFF60AE"/>
    <w:rsid w:val="FFFF7547"/>
    <w:rsid w:val="FFF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方正仿宋简体" w:hAnsi="方正仿宋简体" w:eastAsia="方正仿宋简体" w:cs="方正仿宋简体"/>
      <w:kern w:val="0"/>
      <w:sz w:val="31"/>
      <w:szCs w:val="31"/>
      <w:lang w:val="zh-CN" w:bidi="zh-CN"/>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outlineLvl w:val="1"/>
    </w:pPr>
    <w:rPr>
      <w:rFonts w:ascii="Cambria" w:hAnsi="Cambria" w:eastAsia="楷体_GB2312" w:cs="Times New Roman"/>
      <w:b/>
      <w:bCs/>
      <w:kern w:val="28"/>
      <w:sz w:val="3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page number"/>
    <w:basedOn w:val="11"/>
    <w:qFormat/>
    <w:uiPriority w:val="0"/>
  </w:style>
  <w:style w:type="character" w:styleId="13">
    <w:name w:val="Hyperlink"/>
    <w:basedOn w:val="11"/>
    <w:unhideWhenUsed/>
    <w:qFormat/>
    <w:uiPriority w:val="0"/>
    <w:rPr>
      <w:color w:val="0000FF"/>
      <w:u w:val="single"/>
    </w:rPr>
  </w:style>
  <w:style w:type="character" w:customStyle="1" w:styleId="14">
    <w:name w:val="页眉 Char"/>
    <w:basedOn w:val="11"/>
    <w:link w:val="6"/>
    <w:qFormat/>
    <w:uiPriority w:val="0"/>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qFormat/>
    <w:uiPriority w:val="0"/>
    <w:rPr>
      <w:sz w:val="18"/>
      <w:szCs w:val="18"/>
    </w:rPr>
  </w:style>
  <w:style w:type="character" w:customStyle="1" w:styleId="17">
    <w:name w:val="正文文本 Char"/>
    <w:basedOn w:val="11"/>
    <w:link w:val="3"/>
    <w:qFormat/>
    <w:uiPriority w:val="1"/>
    <w:rPr>
      <w:rFonts w:ascii="方正仿宋简体" w:hAnsi="方正仿宋简体" w:eastAsia="方正仿宋简体" w:cs="方正仿宋简体"/>
      <w:kern w:val="0"/>
      <w:sz w:val="31"/>
      <w:szCs w:val="31"/>
      <w:lang w:val="zh-CN" w:bidi="zh-CN"/>
    </w:rPr>
  </w:style>
  <w:style w:type="paragraph" w:styleId="18">
    <w:name w:val="List Paragraph"/>
    <w:basedOn w:val="1"/>
    <w:qFormat/>
    <w:uiPriority w:val="99"/>
    <w:pPr>
      <w:ind w:firstLine="420" w:firstLineChars="200"/>
    </w:pPr>
    <w:rPr>
      <w:rFonts w:ascii="Times New Roman" w:hAnsi="Times New Roman" w:eastAsia="仿宋_GB2312" w:cs="Times New Roman"/>
      <w:sz w:val="32"/>
      <w:szCs w:val="24"/>
    </w:rPr>
  </w:style>
  <w:style w:type="character" w:customStyle="1" w:styleId="19">
    <w:name w:val="标题 1 Char"/>
    <w:basedOn w:val="11"/>
    <w:link w:val="2"/>
    <w:qFormat/>
    <w:uiPriority w:val="0"/>
    <w:rPr>
      <w:rFonts w:eastAsia="黑体"/>
      <w:b/>
      <w:bCs/>
      <w:kern w:val="44"/>
      <w:sz w:val="32"/>
      <w:szCs w:val="44"/>
    </w:rPr>
  </w:style>
  <w:style w:type="character" w:customStyle="1" w:styleId="20">
    <w:name w:val="副标题 Char"/>
    <w:basedOn w:val="11"/>
    <w:link w:val="7"/>
    <w:qFormat/>
    <w:uiPriority w:val="0"/>
    <w:rPr>
      <w:rFonts w:ascii="Cambria" w:hAnsi="Cambria" w:eastAsia="楷体_GB2312"/>
      <w:b/>
      <w:bCs/>
      <w:kern w:val="28"/>
      <w:sz w:val="32"/>
      <w:szCs w:val="32"/>
    </w:rPr>
  </w:style>
  <w:style w:type="paragraph" w:customStyle="1" w:styleId="21">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4192</Words>
  <Characters>4347</Characters>
  <Lines>227</Lines>
  <Paragraphs>63</Paragraphs>
  <TotalTime>3</TotalTime>
  <ScaleCrop>false</ScaleCrop>
  <LinksUpToDate>false</LinksUpToDate>
  <CharactersWithSpaces>4467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2022-06-25T06:58:00Z</dcterms:created>
  <dc:creator>任吉红</dc:creator>
  <cp:lastModifiedBy>dell</cp:lastModifiedBy>
  <dcterms:modified xsi:type="dcterms:W3CDTF">2022-07-05T09:53:37Z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252A0652A1294CCF98FED0ADEA884F83</vt:lpwstr>
  </property>
</Properties>
</file>